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УТВЕРЖДЕНЫ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</w:t>
      </w:r>
      <w:r>
        <w:rPr>
          <w:rFonts w:ascii="Times New Roman" w:hAnsi="Times New Roman"/>
          <w:sz w:val="24"/>
          <w:szCs w:val="28"/>
        </w:rPr>
        <w:t xml:space="preserve">Мамонтов-Катаев Максим Русланович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sz w:val="24"/>
          <w:szCs w:val="28"/>
        </w:rPr>
        <w:t xml:space="preserve">Мамонтов-Катаев </w:t>
      </w:r>
      <w:r>
        <w:rPr>
          <w:rFonts w:ascii="Times New Roman" w:hAnsi="Times New Roman"/>
          <w:sz w:val="24"/>
          <w:szCs w:val="28"/>
        </w:rPr>
        <w:t xml:space="preserve">М.Р.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Отчет о результатах </w:t>
      </w:r>
      <w:r>
        <w:rPr>
          <w:rFonts w:ascii="Times New Roman" w:hAnsi="Times New Roman" w:cs="Times New Roman"/>
          <w:b/>
          <w:bCs/>
          <w:sz w:val="40"/>
          <w:szCs w:val="40"/>
        </w:rPr>
        <w:t xml:space="preserve">самообследования</w:t>
      </w:r>
      <w:r>
        <w:rPr>
          <w:rFonts w:ascii="Times New Roman" w:hAnsi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</w:p>
    <w:p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 xml:space="preserve">ИП Мамонтов-Катаев М.Р. за 2023 год.</w:t>
      </w:r>
      <w:r>
        <w:rPr>
          <w:rFonts w:ascii="Times New Roman" w:hAnsi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</w:p>
    <w:p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  <w:r>
        <w:rPr>
          <w:rFonts w:ascii="Times New Roman" w:hAnsi="Times New Roman" w:cs="Times New Roman"/>
          <w:b/>
          <w:bCs/>
          <w:sz w:val="40"/>
          <w:szCs w:val="40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</w:t>
      </w:r>
      <w:r>
        <w:rPr>
          <w:rFonts w:ascii="Times New Roman" w:hAnsi="Times New Roman" w:cs="Times New Roman"/>
          <w:sz w:val="28"/>
          <w:szCs w:val="28"/>
        </w:rPr>
        <w:t xml:space="preserve"> 2024 год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Оглавление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Введение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Организационно-правовое обеспечение образовательной деятельности Структура и система управления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обучения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учебного процесса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Качество обучения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реализации образовательных программ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Кадровое обеспечение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Материально-техническое и учебно-методическое обеспечение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Внутренняя система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показателей деятельности организации, подлежащей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Заключение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Введение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29.12.2012 № 273-ФЗ «Об образовании в Российской Федерации» в период с 25 марта по 24 апреля 2024 г. года было проведено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самообследование</w:t>
      </w:r>
      <w:r>
        <w:rPr>
          <w:rFonts w:ascii="Times New Roman" w:hAnsi="Times New Roman" w:cs="Times New Roman"/>
          <w:sz w:val="28"/>
          <w:szCs w:val="28"/>
        </w:rPr>
        <w:t xml:space="preserve"> ИП Мамонтов-Катаев М.Р.(далее – Организация).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Самообследование</w:t>
      </w:r>
      <w:r>
        <w:rPr>
          <w:rFonts w:ascii="Times New Roman" w:hAnsi="Times New Roman" w:cs="Times New Roman"/>
          <w:sz w:val="28"/>
          <w:szCs w:val="28"/>
        </w:rPr>
        <w:t xml:space="preserve"> проводилось в соответствии с приказом </w:t>
      </w:r>
      <w:r>
        <w:rPr>
          <w:rFonts w:ascii="Times New Roman" w:hAnsi="Times New Roman" w:cs="Times New Roman"/>
          <w:sz w:val="28"/>
          <w:szCs w:val="28"/>
        </w:rPr>
        <w:t xml:space="preserve">Минобрнауки</w:t>
      </w:r>
      <w:r>
        <w:rPr>
          <w:rFonts w:ascii="Times New Roman" w:hAnsi="Times New Roman" w:cs="Times New Roman"/>
          <w:sz w:val="28"/>
          <w:szCs w:val="28"/>
        </w:rPr>
        <w:t xml:space="preserve"> от 10.12.2013 № 1324 «Об утверждении показателей деятельности образовательной организации, подлежащей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самообследованию</w:t>
      </w:r>
      <w:r>
        <w:rPr>
          <w:rFonts w:ascii="Times New Roman" w:hAnsi="Times New Roman" w:cs="Times New Roman"/>
          <w:sz w:val="28"/>
          <w:szCs w:val="28"/>
        </w:rPr>
        <w:t xml:space="preserve">»,</w:t>
      </w:r>
      <w:r>
        <w:rPr>
          <w:rFonts w:ascii="Arial" w:hAnsi="Arial" w:eastAsia="Times New Roman" w:cs="Arial"/>
          <w:color w:val="000000"/>
          <w:sz w:val="20"/>
          <w:szCs w:val="20"/>
          <w:lang w:eastAsia="ru-RU"/>
        </w:rPr>
        <w:t xml:space="preserve"> </w:t>
      </w:r>
      <w:hyperlink r:id="rId9" w:tooltip="https://drive.google.com/open?id=1F8Oi3l27CYY5L1gF2suIk8uhQRGtkreD" w:history="1">
        <w:r>
          <w:rPr>
            <w:rStyle w:val="84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Приказом Министерства образования и науки Российской Федерации от 14.06.2013 № 462 «Об утверждении порядка проведения </w:t>
        </w:r>
        <w:r>
          <w:rPr>
            <w:rStyle w:val="84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самообследования</w:t>
        </w:r>
        <w:r>
          <w:rPr>
            <w:rStyle w:val="84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образовательной организацией»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 а также Постановлением Правительства Российской Федерации от 10.07.2013 № 582 «Об утверждении Правил размещения на официальном сайте образовательной организации в информационно-телекоммуникационной сети «Интернет».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Целями проведения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являются обеспечение доступности и открытости информации о деятельности Организации, а также подготовка отчета о результатах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(далее - Отчет).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процессе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проводился анализ показателей деятельности Организации, а также оценка: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системы управления Организации;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образовательной деятельности;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качества обучения;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условий реализации образовательной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кадрового обеспечения;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учебно-методического и библиотечно-информационного обеспечения;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материально-технической базы.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комиссии по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самообследованию</w:t>
      </w:r>
      <w:r>
        <w:rPr>
          <w:rFonts w:ascii="Times New Roman" w:hAnsi="Times New Roman" w:cs="Times New Roman"/>
          <w:sz w:val="28"/>
          <w:szCs w:val="28"/>
        </w:rPr>
        <w:t xml:space="preserve"> входили:  Индивидуальный Предприниматель   </w:t>
      </w:r>
      <w:r>
        <w:rPr>
          <w:rFonts w:ascii="Times New Roman" w:hAnsi="Times New Roman" w:cs="Times New Roman"/>
          <w:sz w:val="28"/>
          <w:szCs w:val="28"/>
        </w:rPr>
        <w:t xml:space="preserve">Мамонтов-Катаев Максим Русланович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преподаватель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дополнительного образования </w:t>
      </w:r>
      <w:r>
        <w:rPr>
          <w:rFonts w:ascii="Times New Roman" w:hAnsi="Times New Roman" w:cs="Times New Roman"/>
          <w:bCs/>
          <w:sz w:val="28"/>
          <w:szCs w:val="28"/>
          <w:highlight w:val="none"/>
        </w:rPr>
        <w:t xml:space="preserve">Савиных Илья Дмитриевич</w:t>
      </w:r>
      <w:r>
        <w:rPr>
          <w:rFonts w:ascii="Times New Roman" w:hAnsi="Times New Roman" w:cs="Times New Roman"/>
          <w:sz w:val="28"/>
          <w:szCs w:val="28"/>
        </w:rPr>
        <w:t xml:space="preserve">. Результаты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представлены ниже в Отчете.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Организационно-правовое обеспечение образовательной деятельности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Нормативной и регламе</w:t>
      </w:r>
      <w:r>
        <w:rPr>
          <w:rFonts w:ascii="Times New Roman" w:hAnsi="Times New Roman" w:cs="Times New Roman"/>
          <w:sz w:val="28"/>
          <w:szCs w:val="28"/>
        </w:rPr>
        <w:t xml:space="preserve">нтирующей базой деятельности и системы управления Организации являются Законодательство Российской Федерации по вопросам образования, нормативно-распорядительные документы Министерства образования и науки России, а также Устав и иные документы Организации: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Конституция Российской Федерации;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Федеральный закон от 29.12.2012 № 273-ФЗ «Об образовании в Российской Федерации»;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Трудовой кодекс Российской Федерации от 30.12.2001 №197-ФЗ;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Приказ </w:t>
      </w:r>
      <w:r>
        <w:rPr>
          <w:rFonts w:ascii="Times New Roman" w:hAnsi="Times New Roman" w:cs="Times New Roman"/>
          <w:sz w:val="28"/>
          <w:szCs w:val="28"/>
        </w:rPr>
        <w:t xml:space="preserve">Минобрнауки</w:t>
      </w:r>
      <w:r>
        <w:rPr>
          <w:rFonts w:ascii="Times New Roman" w:hAnsi="Times New Roman" w:cs="Times New Roman"/>
          <w:sz w:val="28"/>
          <w:szCs w:val="28"/>
        </w:rPr>
        <w:t xml:space="preserve"> России от 01.07.2013 N 499 «Об утверждении Порядка организации и осуществления образовательной деятельности по дополнительным общеобразовательным  программам»;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Другие приказы, распоряжения, постановления, инструктивные письма, методические реком</w:t>
      </w:r>
      <w:r>
        <w:rPr>
          <w:rFonts w:ascii="Times New Roman" w:hAnsi="Times New Roman" w:cs="Times New Roman"/>
          <w:sz w:val="28"/>
          <w:szCs w:val="28"/>
        </w:rPr>
        <w:t xml:space="preserve">ендации Министерства образования и науки Российской Федерации, Федеральной службы по надзору в сфере образования и науки по различным направлениям деятельности, в том числе по вопросам лицензирования и другим вопросам ведения образовательной деятельности;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Устав Организации;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Локальные нормативные акты, регулирующие образовательный процесс в Организации. На основании результатов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можно констатировать, что нормативная и организационно-правовая база Организации имеет</w:t>
      </w:r>
      <w:r>
        <w:rPr>
          <w:rFonts w:ascii="Times New Roman" w:hAnsi="Times New Roman" w:cs="Times New Roman"/>
          <w:sz w:val="28"/>
          <w:szCs w:val="28"/>
        </w:rPr>
        <w:t xml:space="preserve">ся в наличии по всем осуществляемым направлениям деятельности и соответствует действующему законодательству Российской Федерации и нормативным актам. Организация своевременно обновляет содержание и приводит в соответствие с действующим законодательством и </w:t>
      </w:r>
      <w:r>
        <w:rPr>
          <w:rFonts w:ascii="Times New Roman" w:hAnsi="Times New Roman" w:cs="Times New Roman"/>
          <w:sz w:val="28"/>
          <w:szCs w:val="28"/>
        </w:rPr>
        <w:t xml:space="preserve">нормативными актами РФ организационно-педагогическую и локальную документацию.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Сведения об основных нормативно-учредительных документах</w:t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  <w:r>
        <w:rPr>
          <w:rFonts w:ascii="Times New Roman" w:hAnsi="Times New Roman" w:cs="Times New Roman"/>
          <w:i/>
          <w:iCs/>
          <w:sz w:val="28"/>
          <w:szCs w:val="28"/>
        </w:rPr>
      </w:r>
    </w:p>
    <w:tbl>
      <w:tblPr>
        <w:tblStyle w:val="847"/>
        <w:tblW w:w="9493" w:type="dxa"/>
        <w:tblLook w:val="04A0" w:firstRow="1" w:lastRow="0" w:firstColumn="1" w:lastColumn="0" w:noHBand="0" w:noVBand="1"/>
      </w:tblPr>
      <w:tblGrid>
        <w:gridCol w:w="594"/>
        <w:gridCol w:w="4221"/>
        <w:gridCol w:w="4678"/>
      </w:tblGrid>
      <w:tr>
        <w:trPr/>
        <w:tc>
          <w:tcPr>
            <w:tcW w:w="594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21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Реквизиты документа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21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 записи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Едино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реестра юридических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Лист записи  Единого государственного реестра юридических лиц, ГРН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321547600014909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.2021 г., выдан Межрайонной инспекцией Федеральной налоговой службы № 16 по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21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Свидетельство о постановке на учет в налоговом органе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.2021 г., Межрайонная инспекция Федеральной налоговой службы №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W w:w="594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221" w:type="dxa"/>
            <w:textDirection w:val="lrTb"/>
            <w:noWrap w:val="false"/>
          </w:tcPr>
          <w:p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Лицензия на осуществление образовательной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Л035-01199-54/00889660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Структура и система управления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Мамонтов-Катаев Максим Русланович (сокращенно ИП </w:t>
      </w:r>
      <w:r>
        <w:rPr>
          <w:rFonts w:ascii="Times New Roman" w:hAnsi="Times New Roman" w:cs="Times New Roman"/>
          <w:sz w:val="28"/>
          <w:szCs w:val="28"/>
        </w:rPr>
        <w:t xml:space="preserve">Мамонтов-Катаев </w:t>
      </w:r>
      <w:r>
        <w:rPr>
          <w:rFonts w:ascii="Times New Roman" w:hAnsi="Times New Roman" w:cs="Times New Roman"/>
          <w:sz w:val="28"/>
          <w:szCs w:val="28"/>
        </w:rPr>
        <w:t xml:space="preserve">М.Р.)  создано </w:t>
      </w:r>
      <w:r>
        <w:rPr>
          <w:rFonts w:ascii="Times New Roman" w:hAnsi="Times New Roman" w:cs="Times New Roman"/>
          <w:sz w:val="28"/>
          <w:szCs w:val="28"/>
        </w:rPr>
        <w:t xml:space="preserve">3 февраля 2021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Основные сведения об образовательной организации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852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Полное наименование учреждения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6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Индивидуальный Предприниматель </w:t>
            </w:r>
            <w:r>
              <w:rPr>
                <w:rFonts w:ascii="Times New Roman" w:hAnsi="Times New Roman" w:eastAsia="Calibri" w:cs="Times New Roman"/>
              </w:rPr>
              <w:t xml:space="preserve">Мамонтов-Катаев Максим Русланович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Сокращенное наименование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6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ИП </w:t>
            </w:r>
            <w:r>
              <w:rPr>
                <w:rFonts w:ascii="Times New Roman" w:hAnsi="Times New Roman" w:eastAsia="Calibri" w:cs="Times New Roman"/>
              </w:rPr>
              <w:t xml:space="preserve">Мамонтов-Катаев Максим Русланович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Дата создания образовательной организации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6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lang w:val="en-US"/>
              </w:rPr>
            </w:pPr>
            <w:r>
              <w:rPr>
                <w:rFonts w:ascii="Times New Roman" w:hAnsi="Times New Roman" w:eastAsia="Calibri" w:cs="Times New Roman"/>
              </w:rPr>
              <w:t xml:space="preserve"> </w:t>
            </w:r>
            <w:r>
              <w:rPr>
                <w:rFonts w:ascii="Times New Roman" w:hAnsi="Times New Roman" w:eastAsia="Calibri" w:cs="Times New Roman"/>
              </w:rPr>
              <w:t xml:space="preserve">3 февраля 2021</w:t>
            </w:r>
            <w:r>
              <w:rPr>
                <w:rFonts w:ascii="Times New Roman" w:hAnsi="Times New Roman" w:eastAsia="Calibri" w:cs="Times New Roman"/>
                <w:lang w:val="en-US"/>
              </w:rPr>
            </w:r>
            <w:r>
              <w:rPr>
                <w:rFonts w:ascii="Times New Roman" w:hAnsi="Times New Roman" w:eastAsia="Calibri" w:cs="Times New Roman"/>
                <w:lang w:val="en-US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Учредители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6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Мамонтов-Катаев Максим Русланович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5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Представительства и филиалы 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86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 xml:space="preserve">Представительства и филиалы отсутствуют</w:t>
            </w:r>
            <w:r>
              <w:rPr>
                <w:rFonts w:ascii="Times New Roman" w:hAnsi="Times New Roman" w:eastAsia="Calibri" w:cs="Times New Roman"/>
              </w:rPr>
            </w:r>
            <w:r>
              <w:rPr>
                <w:rFonts w:ascii="Times New Roman" w:hAnsi="Times New Roman" w:eastAsia="Calibri" w:cs="Times New Roman"/>
              </w:rPr>
            </w:r>
          </w:p>
        </w:tc>
      </w:tr>
    </w:tbl>
    <w:p>
      <w:pPr>
        <w:spacing w:after="0" w:line="276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spacing w:after="0" w:line="276" w:lineRule="auto"/>
        <w:rPr>
          <w:rFonts w:ascii="Times New Roman" w:hAnsi="Times New Roman" w:eastAsia="Calibri" w:cs="Times New Roman"/>
        </w:rPr>
      </w:pP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  <w:r>
        <w:rPr>
          <w:rFonts w:ascii="Times New Roman" w:hAnsi="Times New Roman" w:eastAsia="Calibri" w:cs="Times New Roman"/>
        </w:rPr>
      </w:r>
    </w:p>
    <w:p>
      <w:pPr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Юридический адрес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852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Почтовый индекс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</w:rPr>
              <w:t xml:space="preserve">630133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Субъект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Новосибирская область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Город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Новосибирск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Улица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Виталия </w:t>
            </w:r>
            <w:r>
              <w:rPr>
                <w:rFonts w:ascii="Times New Roman" w:hAnsi="Times New Roman" w:eastAsia="Calibri" w:cs="Times New Roman"/>
              </w:rPr>
              <w:t xml:space="preserve">Потылицына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Дом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</w:tr>
    </w:tbl>
    <w:p>
      <w:pPr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spacing w:after="0" w:line="276" w:lineRule="auto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Фактический адрес образовательной организации (место осуществления образовательной деятельности)</w:t>
      </w:r>
      <w:r>
        <w:rPr>
          <w:rFonts w:ascii="Times New Roman" w:hAnsi="Times New Roman" w:eastAsia="Calibri" w:cs="Times New Roman"/>
          <w:sz w:val="28"/>
          <w:szCs w:val="28"/>
        </w:rPr>
      </w:r>
      <w:r>
        <w:rPr>
          <w:rFonts w:ascii="Times New Roman" w:hAnsi="Times New Roman" w:eastAsia="Calibri" w:cs="Times New Roman"/>
          <w:sz w:val="28"/>
          <w:szCs w:val="28"/>
        </w:rPr>
      </w:r>
    </w:p>
    <w:tbl>
      <w:tblPr>
        <w:tblStyle w:val="852"/>
        <w:tblW w:w="0" w:type="auto"/>
        <w:tblLook w:val="04A0" w:firstRow="1" w:lastRow="0" w:firstColumn="1" w:lastColumn="0" w:noHBand="0" w:noVBand="1"/>
      </w:tblPr>
      <w:tblGrid>
        <w:gridCol w:w="4665"/>
        <w:gridCol w:w="4680"/>
      </w:tblGrid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Почтовый индекс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Calibri" w:hAnsi="Calibri" w:eastAsia="Calibri" w:cs="Times New Roman"/>
              </w:rPr>
              <w:t xml:space="preserve">630133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Субъект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Новосибирская область 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Город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Новосибирск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65" w:type="dxa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Улица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680" w:type="dxa"/>
            <w:textDirection w:val="lrTb"/>
            <w:noWrap w:val="false"/>
          </w:tcPr>
          <w:p>
            <w:pPr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rFonts w:ascii="Times New Roman" w:hAnsi="Times New Roman" w:eastAsia="Calibri" w:cs="Times New Roman"/>
              </w:rPr>
              <w:t xml:space="preserve">Виталия </w:t>
            </w:r>
            <w:r>
              <w:rPr>
                <w:rFonts w:ascii="Times New Roman" w:hAnsi="Times New Roman" w:eastAsia="Calibri" w:cs="Times New Roman"/>
              </w:rPr>
              <w:t xml:space="preserve">Потылицына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Дом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0" w:type="auto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3"/>
                <w:szCs w:val="23"/>
                <w:lang w:eastAsia="ru-RU"/>
              </w:rPr>
            </w:r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Регистрационный номер лицензии: </w:t>
      </w:r>
      <w:r>
        <w:rPr>
          <w:rFonts w:ascii="Times New Roman" w:hAnsi="Times New Roman" w:cs="Times New Roman"/>
          <w:sz w:val="28"/>
          <w:szCs w:val="28"/>
        </w:rPr>
        <w:t xml:space="preserve">Л035-01199-54/00889660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Приказ от 20.11.2023 № 751-Л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Лицензия действует бессрочно.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Официальный сайт Организации: </w:t>
      </w:r>
      <w:hyperlink r:id="rId10" w:tooltip="https://aroken.ru/" w:history="1">
        <w:r>
          <w:rPr>
            <w:rStyle w:val="849"/>
            <w:rFonts w:ascii="Times New Roman" w:hAnsi="Times New Roman" w:cs="Times New Roman"/>
            <w:sz w:val="28"/>
          </w:rPr>
          <w:t xml:space="preserve">https://aroken.ru/</w:t>
        </w:r>
      </w:hyperlink>
      <w:r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Лицензируемый вид деятельности: дополнительное образование детей и взрослых.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компетенции относится: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основных направлений деятельности Организации;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Назначение и увольнение работников;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Утверждение штатного расписания;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48"/>
        <w:numPr>
          <w:ilvl w:val="0"/>
          <w:numId w:val="2"/>
        </w:num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Установление размеров зарплаты и премирования работников.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Исполнительное руководство осуществляет </w:t>
      </w:r>
      <w:r>
        <w:rPr>
          <w:rFonts w:ascii="Times New Roman" w:hAnsi="Times New Roman" w:cs="Times New Roman"/>
          <w:sz w:val="28"/>
          <w:szCs w:val="28"/>
        </w:rPr>
        <w:t xml:space="preserve">ИП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а именно: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разрабатывает договора;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определяет обязанности персонала;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разрабатывает должностные инструкции работников;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разрабатывает учебно-планирующую документацию и расписание занятий;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готовит приказы о зачислении и отчислении </w:t>
      </w:r>
      <w:r>
        <w:rPr>
          <w:rFonts w:ascii="Times New Roman" w:hAnsi="Times New Roman" w:cs="Times New Roman"/>
          <w:sz w:val="28"/>
          <w:szCs w:val="28"/>
        </w:rPr>
        <w:t xml:space="preserve">обучающихся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 иные предусмотренные действующим законодательством полномочия.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  <w:r>
        <w:rPr>
          <w:rFonts w:ascii="Times New Roman" w:hAnsi="Times New Roman" w:cs="Times New Roman"/>
          <w:b/>
          <w:bCs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Анализ документации по дополнительной общеобразовательной программе </w:t>
      </w:r>
      <w:bookmarkStart w:id="0" w:name="_Hlk132639391"/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bookmarkEnd w:id="0"/>
      <w:r>
        <w:rPr>
          <w:rFonts w:ascii="Times New Roman" w:hAnsi="Times New Roman" w:cs="Times New Roman"/>
          <w:sz w:val="28"/>
          <w:szCs w:val="28"/>
          <w:highlight w:val="none"/>
        </w:rPr>
        <w:t xml:space="preserve">«WEB Разработка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 по программе  показывает, что при реализации программы учт</w:t>
      </w:r>
      <w:r>
        <w:rPr>
          <w:rFonts w:ascii="Times New Roman" w:hAnsi="Times New Roman" w:cs="Times New Roman"/>
          <w:sz w:val="28"/>
          <w:szCs w:val="28"/>
        </w:rPr>
        <w:t xml:space="preserve">ены современные тенденции развития профессионального образования, ориентированные на потребности целевой аудитории. Содержание программ отвечает принципу последовательности и системного подхода при обучении с учетом потребностей заказчика и обучающихся. Об</w:t>
      </w:r>
      <w:r>
        <w:rPr>
          <w:rFonts w:ascii="Times New Roman" w:hAnsi="Times New Roman" w:cs="Times New Roman"/>
          <w:sz w:val="28"/>
          <w:szCs w:val="28"/>
        </w:rPr>
        <w:t xml:space="preserve">язательным условием является сочетание теоретических и практических занятий. В соответствующих разделах программы отражаются требования к подготовке личности, обеспечивающие формирование и совершенствование личностных компетенций и повышения самосознания.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Учебно-методическая документация представлена: учебными, учебно-тематическими планами и рабочими программами, утвержденными </w:t>
      </w:r>
      <w:r>
        <w:rPr>
          <w:rFonts w:ascii="Times New Roman" w:hAnsi="Times New Roman" w:cs="Times New Roman"/>
          <w:sz w:val="28"/>
          <w:szCs w:val="28"/>
        </w:rPr>
        <w:t xml:space="preserve">ИП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 программы содержат цель и задачи изучения основных разделов и тем, планируемые результаты, включающие знания, умения, навыки и компетенции, описание категории обучающихся, основное содержание программы, учебный и учебно-темати</w:t>
      </w:r>
      <w:r>
        <w:rPr>
          <w:rFonts w:ascii="Times New Roman" w:hAnsi="Times New Roman" w:cs="Times New Roman"/>
          <w:sz w:val="28"/>
          <w:szCs w:val="28"/>
        </w:rPr>
        <w:t xml:space="preserve">ческий планы, календарный учебный график, организационно педагогические условия реализации программы, требования к материально техническому обеспечению и учебно-методическому обеспечению учебного процесса, контрольно-оценочные материалы освоения программы.</w:t>
      </w:r>
      <w:r>
        <w:rPr>
          <w:rFonts w:ascii="Times New Roman" w:hAnsi="Times New Roman" w:cs="Times New Roman"/>
          <w:sz w:val="28"/>
          <w:szCs w:val="28"/>
        </w:rPr>
        <w:t xml:space="preserve"> Учебный процесс характеризуется использованием современных и апробированных методов, ориентированных на решение проблем практической деятельности обучающихся, в том числе: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использования активных методов обучения;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практико-ориентированное обучение;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учет психофизиологических особенностей обучающихся;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● методы контроля и управления образовательным процессом.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процессе обучения основное внимание уделяется формированию у обучающихся компетенций, позволяющих ориентироваться в современных условиях, качественно осуществлять профессиональную деятельность.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Учебно-методические материалы постоянно обновляются и совершенствуются. </w:t>
      </w: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содержит следующие сведения: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темы, учебные цели, время на изучение, общие организационно  методические указания по изучению темы (количество занятий, время на каждое занятие и особенности организации и методики их проведения);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каждого занятия, его учебные цели, время, место и основные формы и методы проведения;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рекомендуемая литература, последовательный перечень учебных вопросов, их содержание и методика отработки;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применение учебно-наглядных пособий при наличии; </w:t>
      </w:r>
      <w:r>
        <w:rPr>
          <w:rFonts w:ascii="Symbol" w:hAnsi="Symbol" w:eastAsia="Symbol" w:cs="Symbol"/>
          <w:sz w:val="28"/>
          <w:szCs w:val="28"/>
        </w:rPr>
        <w:t xml:space="preserve"></w:t>
      </w:r>
      <w:r>
        <w:rPr>
          <w:rFonts w:ascii="Times New Roman" w:hAnsi="Times New Roman" w:cs="Times New Roman"/>
          <w:sz w:val="28"/>
          <w:szCs w:val="28"/>
        </w:rPr>
        <w:t xml:space="preserve"> порядок подве</w:t>
      </w:r>
      <w:r>
        <w:rPr>
          <w:rFonts w:ascii="Times New Roman" w:hAnsi="Times New Roman" w:cs="Times New Roman"/>
          <w:sz w:val="28"/>
          <w:szCs w:val="28"/>
        </w:rPr>
        <w:t xml:space="preserve">дения итогов занятия (разбора), содержание задания для самостоятельной работы обучаемых. К методической разработке могут прилагаться схемы, таблицы, технологические (операционные) карты и другие материалы, необходимые для проведения занятий по данной теме.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учебного процесса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Учебный процесс организован на основании действующей лицензии на право осуществления образовательной деятельн</w:t>
      </w:r>
      <w:r>
        <w:rPr>
          <w:rFonts w:ascii="Times New Roman" w:hAnsi="Times New Roman" w:cs="Times New Roman"/>
          <w:sz w:val="28"/>
          <w:szCs w:val="28"/>
        </w:rPr>
        <w:t xml:space="preserve">ости в сфере дополнительного профессионального образования. Образовательный процесс организуется в течение года. Обучение начинается по мере комплектования групп. Образовательные услуги предоставляются на платной основе. Стоимость обучения устанавливается </w:t>
      </w:r>
      <w:r>
        <w:rPr>
          <w:rFonts w:ascii="Times New Roman" w:hAnsi="Times New Roman" w:cs="Times New Roman"/>
          <w:sz w:val="28"/>
          <w:szCs w:val="28"/>
        </w:rPr>
        <w:t xml:space="preserve">ИП Мамонтов-Катаев М.Р..</w:t>
      </w:r>
      <w:r>
        <w:rPr>
          <w:rFonts w:ascii="Times New Roman" w:hAnsi="Times New Roman" w:cs="Times New Roman"/>
          <w:sz w:val="28"/>
          <w:szCs w:val="28"/>
        </w:rPr>
        <w:t xml:space="preserve">Организация учебного процесса по образовательным программам, регламентируется учебными планами, рабочими программами и календарным учебным графиком. Организация осуществляет образовательную деятельность по дополнительной общеобразовательной программе 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«WEB -Разработка».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Потребителями данных образовательных программ являются лица в возрасте старше 18 лет без предъявления требования к уровню образования.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Уровень квалификации специалистов по обучению определяется в ходе контроля учебного процесса.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учебных занятий.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Учебные занятия являются формами организации учебного процесса. В ходе занятий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обучение слушателей по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установленной программе, формируются практические навыки. Основными видами учебных занятий являются: - лекция; - самостоятельное занятие под руководством специалиста по обучению; - консультация; - самостоятельная работа; -  итоговая аттестация.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Лекция (теоретическое занятие)</w:t>
      </w:r>
      <w:r>
        <w:rPr>
          <w:rFonts w:ascii="Times New Roman" w:hAnsi="Times New Roman" w:cs="Times New Roman"/>
          <w:sz w:val="28"/>
          <w:szCs w:val="28"/>
        </w:rPr>
        <w:t xml:space="preserve"> является видом учебных занятий и составляет основу теоретической подготовки обучаемых. Она имеет целью сформировать систематизированные осно</w:t>
      </w:r>
      <w:r>
        <w:rPr>
          <w:rFonts w:ascii="Times New Roman" w:hAnsi="Times New Roman" w:cs="Times New Roman"/>
          <w:sz w:val="28"/>
          <w:szCs w:val="28"/>
        </w:rPr>
        <w:t xml:space="preserve">вы знаний по курсу обучения (дисциплине), раскрыть состояние и перспективы прогресса в регламенте и процессе осуществления государственных и муниципальных закупок, сконцентрировать внимание на наиболее сложных вопросах. Лекция должна носить проблемный хара</w:t>
      </w:r>
      <w:r>
        <w:rPr>
          <w:rFonts w:ascii="Times New Roman" w:hAnsi="Times New Roman" w:cs="Times New Roman"/>
          <w:sz w:val="28"/>
          <w:szCs w:val="28"/>
        </w:rPr>
        <w:t xml:space="preserve">ктер, стимулировать активную познавательную деятельность обучаемых, способствовать формированию творческого мышления аналитического применения знаний на практике. На лекции в разумных пределах целесообразно применять прямой открытый диалог преподавателя с </w:t>
      </w:r>
      <w:r>
        <w:rPr>
          <w:rFonts w:ascii="Times New Roman" w:hAnsi="Times New Roman" w:cs="Times New Roman"/>
          <w:sz w:val="28"/>
          <w:szCs w:val="28"/>
        </w:rPr>
        <w:t xml:space="preserve">обучаемыми</w:t>
      </w:r>
      <w:r>
        <w:rPr>
          <w:rFonts w:ascii="Times New Roman" w:hAnsi="Times New Roman" w:cs="Times New Roman"/>
          <w:sz w:val="28"/>
          <w:szCs w:val="28"/>
        </w:rPr>
        <w:t xml:space="preserve">. Периодически вопросы преподавателя и ответы обучаемых позволяют активизировать аудиторию, привлечь внимание к рассматриваемым вопросам, выявить уровень знаний, формируемых </w:t>
      </w: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 обучаемых.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Практическое занятие</w:t>
      </w:r>
      <w:r>
        <w:rPr>
          <w:rFonts w:ascii="Times New Roman" w:hAnsi="Times New Roman" w:cs="Times New Roman"/>
          <w:sz w:val="28"/>
          <w:szCs w:val="28"/>
        </w:rPr>
        <w:t xml:space="preserve"> проводится с целью: - формирования навыков решения профессиональных задач, - работы с различными видами целевой аудитории (клиентов); - использование актуальных норм законодательной базы </w:t>
      </w:r>
      <w:r>
        <w:rPr>
          <w:rFonts w:ascii="Times New Roman" w:hAnsi="Times New Roman" w:cs="Times New Roman"/>
          <w:sz w:val="28"/>
          <w:szCs w:val="28"/>
        </w:rPr>
        <w:t xml:space="preserve">при</w:t>
      </w:r>
      <w:r>
        <w:rPr>
          <w:rFonts w:ascii="Times New Roman" w:hAnsi="Times New Roman" w:cs="Times New Roman"/>
          <w:sz w:val="28"/>
          <w:szCs w:val="28"/>
        </w:rPr>
        <w:t xml:space="preserve"> решение ситуационных задач.  Практические занятия проводятся в </w:t>
      </w:r>
      <w:r>
        <w:rPr>
          <w:rFonts w:ascii="Times New Roman" w:hAnsi="Times New Roman" w:cs="Times New Roman"/>
          <w:sz w:val="28"/>
          <w:szCs w:val="28"/>
        </w:rPr>
        <w:t xml:space="preserve">виде отработки практических навыков. Главным их содержанием являются практическая работа каждого обучаемого.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Консультация</w:t>
      </w:r>
      <w:r>
        <w:rPr>
          <w:rFonts w:ascii="Times New Roman" w:hAnsi="Times New Roman" w:cs="Times New Roman"/>
          <w:sz w:val="28"/>
          <w:szCs w:val="28"/>
        </w:rPr>
        <w:t xml:space="preserve"> является одной из форм руководства работой обучаемых и оказания им помощи в самостоятельном изучении учебного материала. Консультации проводятся регулярно и носят в основном индивидуальный характер. При необходимости, с </w:t>
      </w:r>
      <w:r>
        <w:rPr>
          <w:rFonts w:ascii="Times New Roman" w:hAnsi="Times New Roman" w:cs="Times New Roman"/>
          <w:sz w:val="28"/>
          <w:szCs w:val="28"/>
        </w:rPr>
        <w:t xml:space="preserve">обучаемыми</w:t>
      </w:r>
      <w:r>
        <w:rPr>
          <w:rFonts w:ascii="Times New Roman" w:hAnsi="Times New Roman" w:cs="Times New Roman"/>
          <w:sz w:val="28"/>
          <w:szCs w:val="28"/>
        </w:rPr>
        <w:t xml:space="preserve"> могут проводиться групповые консультации.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Самостоятельная работа</w:t>
      </w:r>
      <w:r>
        <w:rPr>
          <w:rFonts w:ascii="Times New Roman" w:hAnsi="Times New Roman" w:cs="Times New Roman"/>
          <w:sz w:val="28"/>
          <w:szCs w:val="28"/>
        </w:rPr>
        <w:t xml:space="preserve"> обучаемых является важной составной частью учебного процесса и имеет целью: </w:t>
      </w:r>
      <w:r>
        <w:rPr>
          <w:rFonts w:ascii="Times New Roman" w:hAnsi="Times New Roman" w:cs="Times New Roman"/>
          <w:sz w:val="28"/>
          <w:szCs w:val="28"/>
        </w:rPr>
        <w:t xml:space="preserve">-з</w:t>
      </w:r>
      <w:r>
        <w:rPr>
          <w:rFonts w:ascii="Times New Roman" w:hAnsi="Times New Roman" w:cs="Times New Roman"/>
          <w:sz w:val="28"/>
          <w:szCs w:val="28"/>
        </w:rPr>
        <w:t xml:space="preserve">акрепление и совершенствование знаний и навыков, полученных на всех видах учебных занятий; - подготов</w:t>
      </w:r>
      <w:r>
        <w:rPr>
          <w:rFonts w:ascii="Times New Roman" w:hAnsi="Times New Roman" w:cs="Times New Roman"/>
          <w:sz w:val="28"/>
          <w:szCs w:val="28"/>
        </w:rPr>
        <w:t xml:space="preserve">ку к предстоящим занятиям и итоговой аттестации; - формирование культуры умственного труда, самостоятельности и инициативы в формировании знаний. Самостоятельная работа должна носить систематический и непрерывный характер в течение всего периода обучения.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Качество обучения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Качеству подготовки</w:t>
      </w:r>
      <w:r>
        <w:rPr>
          <w:rFonts w:ascii="Times New Roman" w:hAnsi="Times New Roman" w:cs="Times New Roman"/>
          <w:sz w:val="28"/>
          <w:szCs w:val="28"/>
        </w:rPr>
        <w:t xml:space="preserve"> обучающихся уделяется большое внимание на всех периодах обучения. Уровень требований в ходе промежуточных аттестаций, уровень требований к содержанию итоговой аттестации, определены руководством Организации как достаточные для оценки качества подготовки. </w:t>
      </w:r>
      <w:r>
        <w:rPr>
          <w:rFonts w:ascii="Times New Roman" w:hAnsi="Times New Roman" w:cs="Times New Roman"/>
          <w:sz w:val="28"/>
          <w:szCs w:val="28"/>
        </w:rPr>
        <w:t xml:space="preserve">Содержание учебных планов и образовательной программы направлено, на т</w:t>
      </w:r>
      <w:r>
        <w:rPr>
          <w:rFonts w:ascii="Times New Roman" w:hAnsi="Times New Roman" w:cs="Times New Roman"/>
          <w:sz w:val="28"/>
          <w:szCs w:val="28"/>
        </w:rPr>
        <w:t xml:space="preserve">о, чтобы изучаемый теоретический материал, подкрепляемый полученными практическими навыками, в ходе учебного процесса преобразовывался в эффективный профессиональный инструмент, которые обучающиеся в дальнейшем используют в своей практической деятельности.</w:t>
      </w:r>
      <w:r>
        <w:rPr>
          <w:rFonts w:ascii="Times New Roman" w:hAnsi="Times New Roman" w:cs="Times New Roman"/>
          <w:sz w:val="28"/>
          <w:szCs w:val="28"/>
        </w:rPr>
        <w:t xml:space="preserve"> При этом теоретический материал выстроен с учетом современных тенденций и развития системы государственных и муниципальных  заказов.  Обучающиеся, успешно освоившие программу, получают документы об образовании (прохождении курса </w:t>
      </w:r>
      <w:r>
        <w:rPr>
          <w:rFonts w:ascii="Times New Roman" w:hAnsi="Times New Roman" w:cs="Times New Roman"/>
          <w:sz w:val="28"/>
          <w:szCs w:val="28"/>
        </w:rPr>
        <w:t xml:space="preserve">обучения по программе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«WEB-Разработка»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основе проведенного анализа можно сделать выводы, что: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Деятельность Организации учитывает потребности заинтересованных лиц в обучении;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Структура подготовки обучающихся является оптимальной с точки зрения формы, видов и методов обучения;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● Организация имеет потенциал в </w:t>
      </w:r>
      <w:r>
        <w:rPr>
          <w:rFonts w:ascii="Times New Roman" w:hAnsi="Times New Roman" w:cs="Times New Roman"/>
          <w:sz w:val="28"/>
          <w:szCs w:val="28"/>
        </w:rPr>
        <w:t xml:space="preserve">обучении</w:t>
      </w:r>
      <w:r>
        <w:rPr>
          <w:rFonts w:ascii="Times New Roman" w:hAnsi="Times New Roman" w:cs="Times New Roman"/>
          <w:sz w:val="28"/>
          <w:szCs w:val="28"/>
        </w:rPr>
        <w:t xml:space="preserve"> по  дополнительным образовательным программам.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Условия реализации образовательных программ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Обучение ведется на русском языке. Реализация образовательных программ и оказание образовательных услуг осуществляется на платной основе. Размер платы во всех группах 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ИП Мамонтов-Катаев М.Р..</w:t>
      </w:r>
      <w:r>
        <w:rPr>
          <w:rFonts w:ascii="Times New Roman" w:hAnsi="Times New Roman" w:cs="Times New Roman"/>
          <w:sz w:val="28"/>
          <w:szCs w:val="28"/>
        </w:rPr>
        <w:t xml:space="preserve">Обучающиеся принимаются на обучение на основании заявления и заключения договора об оказании платных образовательных услуг. </w:t>
      </w:r>
      <w:r>
        <w:rPr>
          <w:rFonts w:ascii="Times New Roman" w:hAnsi="Times New Roman" w:cs="Times New Roman"/>
          <w:sz w:val="28"/>
          <w:szCs w:val="28"/>
        </w:rPr>
        <w:t xml:space="preserve">При поступлении обучающиеся в обязательном порядке знакомятся с положением об Организации, лицензией на право ведения образовательной деятельности, уровнем и направленностью реал</w:t>
      </w:r>
      <w:r>
        <w:rPr>
          <w:rFonts w:ascii="Times New Roman" w:hAnsi="Times New Roman" w:cs="Times New Roman"/>
          <w:sz w:val="28"/>
          <w:szCs w:val="28"/>
        </w:rPr>
        <w:t xml:space="preserve">изуемых программ, формами, сроками их освоения, стоимостью обучения, порядком оплаты, порядком приема и требованиями к поступающим, формой документа, выдаваемого по окончанию обучения и другими документами, регламентирующими организацию работы Организации.</w:t>
      </w:r>
      <w:r>
        <w:rPr>
          <w:rFonts w:ascii="Times New Roman" w:hAnsi="Times New Roman" w:cs="Times New Roman"/>
          <w:sz w:val="28"/>
          <w:szCs w:val="28"/>
        </w:rPr>
        <w:t xml:space="preserve"> Зачисление и отчисление обучающихся производится приказом </w:t>
      </w:r>
      <w:r>
        <w:rPr>
          <w:rFonts w:ascii="Times New Roman" w:hAnsi="Times New Roman" w:cs="Times New Roman"/>
          <w:sz w:val="28"/>
          <w:szCs w:val="28"/>
        </w:rPr>
        <w:t xml:space="preserve">ИП Мамонтов-Катаев М.Р.. </w:t>
      </w:r>
      <w:r>
        <w:rPr>
          <w:rFonts w:ascii="Times New Roman" w:hAnsi="Times New Roman" w:cs="Times New Roman"/>
          <w:sz w:val="28"/>
          <w:szCs w:val="28"/>
        </w:rPr>
        <w:t xml:space="preserve">Реализация дополнительных  обще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программ осуществляется по учебным планам и программам, введенными в действие в установленном порядке. Сроки обучения определяются программами обучения. Обучение ведётся исключительно с применением дистанционных образовательных технологий.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Занятия проводятся по утверждаемому расписанию. Для контроля успеваемости и посещаемости теоретических занятий обучающихся ведется журнал. Обучение веется по заочной форме обучения с применением ДОТ. </w:t>
      </w:r>
      <w:r>
        <w:rPr>
          <w:rFonts w:ascii="Times New Roman" w:hAnsi="Times New Roman" w:cs="Times New Roman"/>
          <w:sz w:val="28"/>
          <w:szCs w:val="28"/>
        </w:rPr>
        <w:t xml:space="preserve">Продолжительность учебного часа теоретических занятий – 45 минут. По окончанию обучения проводятся аттестации, принимаемые аттестационной комиссией. Результаты аттестации оф</w:t>
      </w:r>
      <w:r>
        <w:rPr>
          <w:rFonts w:ascii="Times New Roman" w:hAnsi="Times New Roman" w:cs="Times New Roman"/>
          <w:sz w:val="28"/>
          <w:szCs w:val="28"/>
        </w:rPr>
        <w:t xml:space="preserve">ормляются протоколом. Результаты экзаменов оцениваются отметками – отлично, хорошо, удовлетворительно, неудовлетворительно. Услуга по обучению оказывается на платной основе в соответствии с утвержденным положением об оказании платных образовательных услуг.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Кадровое обеспечение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Реализацию образовательного процесса обеспечивают: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преподаватели, имеющие профильное образование и стаж преподавательской деятельности не менее 3-х лет;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специалисты-практики, имеющие опыт работы в области профессиональной деятельности, соответствующей направленности </w:t>
      </w:r>
      <w:r>
        <w:rPr>
          <w:rFonts w:ascii="Times New Roman" w:hAnsi="Times New Roman" w:cs="Times New Roman"/>
          <w:sz w:val="28"/>
          <w:szCs w:val="28"/>
        </w:rPr>
        <w:t xml:space="preserve">ДО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представители организаций, деятельность которых связана с направленностью реализуемой программы для проведения «круглых столов», деловых игр и мастер-классов.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Организации работают </w:t>
      </w:r>
      <w:r>
        <w:rPr>
          <w:rFonts w:ascii="Times New Roman" w:hAnsi="Times New Roman" w:cs="Times New Roman"/>
          <w:sz w:val="28"/>
          <w:szCs w:val="28"/>
        </w:rPr>
        <w:t xml:space="preserve">преподаватели</w:t>
      </w:r>
      <w:r>
        <w:rPr>
          <w:rFonts w:ascii="Times New Roman" w:hAnsi="Times New Roman" w:cs="Times New Roman"/>
          <w:sz w:val="28"/>
          <w:szCs w:val="28"/>
        </w:rPr>
        <w:t xml:space="preserve"> являющиеся штатными единицами Организации и (или) на основании договоров гражданско-правового характера.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Материально-техническое и учебно-методическое обеспечение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315"/>
        <w:rPr>
          <w:rFonts w:ascii="Open Sans" w:hAnsi="Open Sans" w:eastAsia="Times New Roman" w:cs="Open Sans"/>
          <w:color w:val="222222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организации качественного образовательного процесса по Дополнительной 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</w:t>
      </w:r>
      <w:r>
        <w:rPr>
          <w:rFonts w:ascii="Times New Roman" w:hAnsi="Times New Roman" w:cs="Times New Roman"/>
          <w:sz w:val="28"/>
          <w:szCs w:val="28"/>
        </w:rPr>
        <w:t xml:space="preserve">  программе 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«WEB Разработка»</w:t>
      </w:r>
      <w:r>
        <w:rPr>
          <w:rFonts w:ascii="Times New Roman" w:hAnsi="Times New Roman" w:cs="Times New Roman"/>
          <w:sz w:val="28"/>
          <w:szCs w:val="28"/>
        </w:rPr>
        <w:t xml:space="preserve"> ИП Мамонтов-Катаев М.Р.использует учебный класс, располагающийся по адресу: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630133, Новосибирская область, город Новосибирск, улица Виталия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Потылицына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дом 7</w:t>
      </w:r>
      <w:r>
        <w:rPr>
          <w:rFonts w:ascii="Open Sans" w:hAnsi="Open Sans" w:eastAsia="Times New Roman" w:cs="Open Sans"/>
          <w:color w:val="222222"/>
          <w:sz w:val="21"/>
          <w:szCs w:val="21"/>
          <w:lang w:eastAsia="ru-RU"/>
        </w:rPr>
        <w:t xml:space="preserve">.</w:t>
      </w:r>
      <w:r>
        <w:rPr>
          <w:rFonts w:ascii="Open Sans" w:hAnsi="Open Sans" w:eastAsia="Times New Roman" w:cs="Open Sans"/>
          <w:color w:val="222222"/>
          <w:sz w:val="21"/>
          <w:szCs w:val="21"/>
          <w:lang w:eastAsia="ru-RU"/>
        </w:rPr>
      </w:r>
      <w:r>
        <w:rPr>
          <w:rFonts w:ascii="Open Sans" w:hAnsi="Open Sans" w:eastAsia="Times New Roman" w:cs="Open Sans"/>
          <w:color w:val="222222"/>
          <w:sz w:val="21"/>
          <w:szCs w:val="21"/>
          <w:lang w:eastAsia="ru-RU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</w:t>
      </w:r>
      <w:r>
        <w:rPr>
          <w:rFonts w:ascii="Times New Roman" w:hAnsi="Times New Roman" w:cs="Times New Roman"/>
          <w:sz w:val="28"/>
          <w:szCs w:val="28"/>
        </w:rPr>
        <w:t xml:space="preserve">вательные программы реализуются исключительно с  использованием дистанционных образовательных технологий и электронного обучения. При реализации образовательных программ используются информационные технологии, технические средства, а также информационно – </w:t>
      </w:r>
      <w:r>
        <w:rPr>
          <w:rFonts w:ascii="Times New Roman" w:hAnsi="Times New Roman" w:cs="Times New Roman"/>
          <w:sz w:val="28"/>
          <w:szCs w:val="28"/>
        </w:rPr>
        <w:t xml:space="preserve">телекоммуникационные сети, обеспечивающие передачу по линиям связи информации, взаимодействие обучающихся и педагогического состава.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Педагогический состав, задействованный в реализа</w:t>
      </w:r>
      <w:r>
        <w:rPr>
          <w:rFonts w:ascii="Times New Roman" w:hAnsi="Times New Roman" w:cs="Times New Roman"/>
          <w:sz w:val="28"/>
          <w:szCs w:val="28"/>
        </w:rPr>
        <w:t xml:space="preserve">ции образовательных программ, осуществляет трудовую деятельность на условиях дистанционного трудового договора или на условиях гражданско-правового договора, в соответствии с которым местом оказания услуг является место нахождения исполнителя по договору.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необходимости оборудовано рабочее место для преподавательского состава: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Оснащение: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рабочее место (с доступом в сеть Интернет) - 1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МФУ –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наушники проводные - 1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стол большой –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стулья –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Технические средства обучения: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ноутбук -  1 шт.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Дистанционное обучение реализуется на платформе - собственном электронном образовательном ресурсе: </w:t>
      </w:r>
      <w:hyperlink r:id="rId11" w:tooltip="https://aroken.ru/" w:history="1">
        <w:r>
          <w:rPr>
            <w:rStyle w:val="849"/>
            <w:rFonts w:ascii="Times New Roman" w:hAnsi="Times New Roman" w:cs="Times New Roman"/>
            <w:sz w:val="28"/>
            <w:szCs w:val="28"/>
          </w:rPr>
          <w:t xml:space="preserve">https://aroken.ru/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Служба поддержки и сопровождения заочного обучения с применением дистанционных образовательных технологий или электронного обучения осуществляется специалистами </w:t>
      </w:r>
      <w:r>
        <w:rPr>
          <w:rFonts w:ascii="Times New Roman" w:hAnsi="Times New Roman" w:cs="Times New Roman"/>
          <w:sz w:val="28"/>
          <w:szCs w:val="28"/>
        </w:rPr>
        <w:t xml:space="preserve">ИП Мамонтов-Катаев М.Р.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Оснащение библиотеки: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доступ в сеть Интернет,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открытых информационных источников, содержащих необходимую литературу и учебные пособия,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платформа для осуществления обучения с применением дистанционных технологий с режимом работы 24/7.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Symbol" w:hAnsi="Symbol" w:eastAsia="Symbol" w:cs="Symbol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Учебно-методические материалы постоянно обновляются и совершенствуются. </w:t>
      </w:r>
      <w:r>
        <w:rPr>
          <w:rFonts w:ascii="Times New Roman" w:hAnsi="Times New Roman" w:cs="Times New Roman"/>
          <w:sz w:val="28"/>
          <w:szCs w:val="28"/>
        </w:rPr>
        <w:t xml:space="preserve">Методическая разработка содержит следующие сведения: 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темы, учебные цели, время на изучение, общие организационно  методические указания по изучению темы (количество занятий, время на каждое занятие и особенности организации и методики их проведения); </w:t>
      </w:r>
      <w:r>
        <w:rPr>
          <w:rFonts w:ascii="Symbol" w:hAnsi="Symbol" w:eastAsia="Symbol" w:cs="Symbol"/>
          <w:sz w:val="28"/>
          <w:szCs w:val="28"/>
        </w:rPr>
      </w:r>
      <w:r>
        <w:rPr>
          <w:rFonts w:ascii="Symbol" w:hAnsi="Symbol" w:eastAsia="Symbol" w:cs="Symbol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Symbol" w:hAnsi="Symbol" w:eastAsia="Symbol" w:cs="Symbol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наименование каждого занятия, его учебные цели, время, место и основные формы и методы проведения;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рекомендуемая литература, последовательный перечень учебных вопросов, их содержание и методика отработки;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 применение учебно-наглядных пособий при наличии;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порядок подве</w:t>
      </w:r>
      <w:r>
        <w:rPr>
          <w:rFonts w:ascii="Times New Roman" w:hAnsi="Times New Roman" w:cs="Times New Roman"/>
          <w:sz w:val="28"/>
          <w:szCs w:val="28"/>
        </w:rPr>
        <w:t xml:space="preserve">дения итогов занятия (разбора), содержание задания для самостоятельной работы обучаемых. К методической разработке могут прилагаться схемы, таблицы, технологические (операционные) карты и другие материалы, необходимые для проведения занятий по данной теме.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Внутренняя система оценки качества образования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федеральному закону от 29.12.2012 N 273-ФЗ «Об образовании в Российской Федерации» к компетенции образовательной организации относится обеспечение </w:t>
      </w:r>
      <w:r>
        <w:rPr>
          <w:rFonts w:ascii="Times New Roman" w:hAnsi="Times New Roman" w:cs="Times New Roman"/>
          <w:sz w:val="28"/>
          <w:szCs w:val="28"/>
        </w:rPr>
        <w:t xml:space="preserve">функционирования внутренней системы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образовательной организации. Внутренняя система оценки качества образования - совокупность организационных норм и правил, обеспечивающих об</w:t>
      </w:r>
      <w:r>
        <w:rPr>
          <w:rFonts w:ascii="Times New Roman" w:hAnsi="Times New Roman" w:cs="Times New Roman"/>
          <w:sz w:val="28"/>
          <w:szCs w:val="28"/>
        </w:rPr>
        <w:t xml:space="preserve">ъективную информацию и последующую оценку образовательных достижений слушателей, эффективности деятельности преподавательского состава, достаточность имеющихся ресурсов, качество образовательных программ с учетом запросов потребителей образовательных услуг</w:t>
      </w:r>
      <w:r>
        <w:rPr>
          <w:rFonts w:ascii="Times New Roman" w:hAnsi="Times New Roman" w:cs="Times New Roman"/>
          <w:sz w:val="28"/>
          <w:szCs w:val="28"/>
        </w:rPr>
        <w:t xml:space="preserve">. Главной задачей Организации является постоянное повышение эффективности образовательной деятельности, исходя из потребностей личности и общества за счет высокого качества предоставляемых услуг. Организация строит свою деятельность на приоритете качества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услуг, отвечающего современным требованиям. В рамках </w:t>
      </w:r>
      <w:r>
        <w:rPr>
          <w:rFonts w:ascii="Times New Roman" w:hAnsi="Times New Roman" w:cs="Times New Roman"/>
          <w:sz w:val="28"/>
          <w:szCs w:val="28"/>
        </w:rPr>
        <w:t xml:space="preserve">функционирования внутренней системы оценки качества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контроль по следующим направлениям: к</w:t>
      </w:r>
      <w:r>
        <w:rPr>
          <w:rFonts w:ascii="Times New Roman" w:hAnsi="Times New Roman" w:cs="Times New Roman"/>
          <w:sz w:val="28"/>
          <w:szCs w:val="28"/>
        </w:rPr>
        <w:t xml:space="preserve">ачество образования, условия оказания образовательных услуг, эффективность функционирования созданной системы. Результаты внутреннего мониторинга способствуют принятию обоснованных и своевременных управленческих решений, направленных на повышение качества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образовательного процесса. Внутренняя система оценки качества образования включает в себя оценку работы педагогических кадров со стороны администрации и изучение мнения, пожеланий, предложений слушателей, анализ результатов обучения. Основными направлениям</w:t>
      </w:r>
      <w:r>
        <w:rPr>
          <w:rFonts w:ascii="Times New Roman" w:hAnsi="Times New Roman" w:cs="Times New Roman"/>
          <w:sz w:val="28"/>
          <w:szCs w:val="28"/>
        </w:rPr>
        <w:t xml:space="preserve">и внутреннего контроля образовательного процесса являются: содержание и качество преподавания учебных тем (разделов) программы, модулей; содержание и качество обучения; качество знаний, умений, навыков, даваемых слушателю и получения ими новых компетенций </w:t>
      </w:r>
      <w:r>
        <w:rPr>
          <w:rFonts w:ascii="Times New Roman" w:hAnsi="Times New Roman" w:cs="Times New Roman"/>
          <w:sz w:val="28"/>
          <w:szCs w:val="28"/>
        </w:rPr>
        <w:t xml:space="preserve">и(</w:t>
      </w:r>
      <w:r>
        <w:rPr>
          <w:rFonts w:ascii="Times New Roman" w:hAnsi="Times New Roman" w:cs="Times New Roman"/>
          <w:sz w:val="28"/>
          <w:szCs w:val="28"/>
        </w:rPr>
        <w:t xml:space="preserve">или) повышение профессионального уровня в рамках имеющейся квалификации; — состояние и качеств</w:t>
      </w:r>
      <w:r>
        <w:rPr>
          <w:rFonts w:ascii="Times New Roman" w:hAnsi="Times New Roman" w:cs="Times New Roman"/>
          <w:sz w:val="28"/>
          <w:szCs w:val="28"/>
        </w:rPr>
        <w:t xml:space="preserve">о нормативной и учебно-методической документации, содержание и качество подготовки и проведения итоговой аттестации обучающихся; выполнение учебных планов, поставленных задач и программ развития. </w:t>
      </w:r>
      <w:r>
        <w:rPr>
          <w:rFonts w:ascii="Times New Roman" w:hAnsi="Times New Roman" w:cs="Times New Roman"/>
          <w:sz w:val="28"/>
          <w:szCs w:val="28"/>
        </w:rPr>
        <w:t xml:space="preserve">С целью повышения эффективности образовательной деятельности в Организации применяется опрос слушателей, закончивших обучение. Результаты опроса обобщаются и тщател</w:t>
      </w:r>
      <w:r>
        <w:rPr>
          <w:rFonts w:ascii="Times New Roman" w:hAnsi="Times New Roman" w:cs="Times New Roman"/>
          <w:sz w:val="28"/>
          <w:szCs w:val="28"/>
        </w:rPr>
        <w:t xml:space="preserve">ьно анализируются, что позволяет учитывать замечания и рекомендации слушателей в деле совершенствования качества организации образовательной деятельности.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Анализ показателей деятельности организации, подлежащей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самообследованию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jc w:val="center"/>
        <w:tblInd w:w="-177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00"/>
        <w:gridCol w:w="3750"/>
        <w:gridCol w:w="3787"/>
      </w:tblGrid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/>
            <w:bookmarkStart w:id="1" w:name="l102"/>
            <w:r/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15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дошкольного возраста (3-7 лет)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младшего школьного возраста (7-11 лет)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среднего школьного возраста (11-15 лет)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Детей старшего школьного возраста (15-17 лет)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учащихся, обучающихся по образовательным программам по договорам об оказании платных образовательных услуг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занимающихся в 2-х и более объединениях (кружках, секциях, клубах), в общей численности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с применением дистанционных образовательных технологий, электронного обучения, в общей численности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 человек/ 100%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по образовательным программам для детей с выдающимися способностями, в общей численности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 по образовательным программам, направленным на работу с детьми с особыми потребностями в образовании, в общей численности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 ограниченными возможностями здоровья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Дети-сироты, дети, оставшиеся без попечения родителей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Дети-мигранты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Дети, попавшие в трудную жизненную ситуацию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1.7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занимающихся учебно-исследовательской, проектной деятельностью, в общей численности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принявших участие в массовых мероприятиях (конкурсы, соревнования, фестивали, конференции), в общей численности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1.8.5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учащихся-победителей и призеров массовых мероприятий (конкурсы, соревнования, фестивали, конференции), в общей численности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1.9.5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участвующих в образовательных и социальных проектах, в общей численности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Межрегионального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  <w:trHeight w:val="149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1.10.5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Международного уровня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массовых мероприятий, проведенных образовательной организацией,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муниципальном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межрегиональном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федеральном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1.11.5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международном уровне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численность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человек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образование, в общей численности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образование, в общей численности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1.16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1.17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1.17.1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1.17.2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1.18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1.18.1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5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1.18.2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Свыше 30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1.19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до 30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1.20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работников в общей численности педагогических работников в возрасте от 55 лет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педагогических и административно-хозяйственных работников, прошедших за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специалистов, обеспечивающих методическую деятельность образовательной организации, в общей численности сотрудников образовательной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публикаций, подготовленных педагогическими работниками образовательной организации: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1.23.1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3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1.23.2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отчетный период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1.24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организации дополнительного образования системы психолого-педагогической поддержки одаренных детей, иных групп детей, требующих повышенного педагогического внимания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753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компьютеров в расчете на одного учащегося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помещений для осуществления образовательной деятельности,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Танцевальный класс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2.2.6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помещений для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досуговой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учащихся,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Актовый зал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Концертный зал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2.3.3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Игровое помещение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единиц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загородных оздоровительных лагерей, баз отдыха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образовательной организации системы электронного документооборота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Наличие читального зала библиотеки, в том числе: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2.6.1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обеспечением возможности работы на стационарных компьютерах или использования переносных компьютеров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2.6.2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медиатекой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2.6.3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Оснащенного средствами сканирования и распознавания текстов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2.6.4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выходом в Интернет с компьютеров, расположенных в помещении библиотеки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2.6.5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контролируемой распечаткой бумажных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rPr>
          <w:jc w:val="center"/>
        </w:trPr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15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2.7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5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Численность/удельный вес численности учащихся, которым обеспечена возможность пользоваться широкополосным Интернетом (не менее 2 Мб/с), в общей численности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W w:w="3787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человек/%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 xml:space="preserve">самообследования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 показывают, что организационно-правовое обеспечение деятельности Организации полностью соответствует законодательству Российской Федерации, образовател</w:t>
      </w:r>
      <w:r>
        <w:rPr>
          <w:rFonts w:ascii="Times New Roman" w:hAnsi="Times New Roman" w:cs="Times New Roman"/>
          <w:sz w:val="28"/>
          <w:szCs w:val="28"/>
        </w:rPr>
        <w:t xml:space="preserve">ьная деятельность осуществляется на основании лицензии, структура и организация управления обеспечивают решение задач Организации, обеспечивающего качественное образование. Потенциал Организации по всем рассмотренным показателям отвечает предъявленным треб</w:t>
      </w:r>
      <w:r>
        <w:rPr>
          <w:rFonts w:ascii="Times New Roman" w:hAnsi="Times New Roman" w:cs="Times New Roman"/>
          <w:sz w:val="28"/>
          <w:szCs w:val="28"/>
        </w:rPr>
        <w:t xml:space="preserve">ованиям. Кадровый состав обеспечивает учебный процесс по реализуемым образовательным программам. Материально-техническая база, включая формы технической и информационной поддержки учебного процесса достаточна для обеспечения реализуемых программ обучения.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проведенного анализа рекомендуется: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Продолжить работу по внедрению в учебный процесс инновационных технологий;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Расширение перечня реализуемых образовательных программ;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Увеличение количества слушателей;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Увеличение доли доходов от образовательной деятельности;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Повышение удовлетворённости потребителей и заказчиков качеством образовательных услуг;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Активизация методической деятельности: выпуск методических пособий, проведение круглых столов, конференций по актуальным вопросам.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Укрепление деловой репутации ИП Мамонтов-Катаев М.Р.на рынке образовательных услуг;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>
        <w:rPr>
          <w:rFonts w:ascii="Times New Roman" w:hAnsi="Times New Roman" w:cs="Times New Roman"/>
          <w:sz w:val="28"/>
          <w:szCs w:val="28"/>
        </w:rPr>
        <w:t xml:space="preserve">программы</w:t>
      </w:r>
      <w:r>
        <w:rPr>
          <w:rFonts w:ascii="Times New Roman" w:hAnsi="Times New Roman" w:cs="Times New Roman"/>
          <w:sz w:val="28"/>
          <w:szCs w:val="28"/>
        </w:rPr>
        <w:t xml:space="preserve"> реализуемые Организации, актуальны и востребованы на рынке образовательных услуг, имеют конкурентно способные цены. Высокую эффективность занятий и их соответствие </w:t>
      </w:r>
      <w:r>
        <w:rPr>
          <w:rFonts w:ascii="Times New Roman" w:hAnsi="Times New Roman" w:cs="Times New Roman"/>
          <w:sz w:val="28"/>
          <w:szCs w:val="28"/>
        </w:rPr>
        <w:t xml:space="preserve">актуальным проблемам обучающихся подтверждают результаты итоговых аттестаций, постоянный рост заявок на обучение и числа обучающихся.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 составил:  </w:t>
      </w:r>
      <w:r>
        <w:rPr>
          <w:rFonts w:ascii="Times New Roman" w:hAnsi="Times New Roman" w:cs="Times New Roman"/>
          <w:sz w:val="28"/>
          <w:szCs w:val="28"/>
        </w:rPr>
        <w:t xml:space="preserve">ИП Мамонтов-Катаев М.Р.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Мамонтов-Катаев Максим Русланович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24 апреля 2024 г.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Calibri">
    <w:panose1 w:val="020F05020202040302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2">
    <w:name w:val="Title Char"/>
    <w:basedOn w:val="669"/>
    <w:link w:val="691"/>
    <w:uiPriority w:val="10"/>
    <w:rPr>
      <w:sz w:val="48"/>
      <w:szCs w:val="48"/>
    </w:rPr>
  </w:style>
  <w:style w:type="character" w:styleId="663">
    <w:name w:val="Subtitle Char"/>
    <w:basedOn w:val="669"/>
    <w:link w:val="693"/>
    <w:uiPriority w:val="11"/>
    <w:rPr>
      <w:sz w:val="24"/>
      <w:szCs w:val="24"/>
    </w:rPr>
  </w:style>
  <w:style w:type="character" w:styleId="664">
    <w:name w:val="Quote Char"/>
    <w:link w:val="695"/>
    <w:uiPriority w:val="29"/>
    <w:rPr>
      <w:i/>
    </w:rPr>
  </w:style>
  <w:style w:type="character" w:styleId="665">
    <w:name w:val="Intense Quote Char"/>
    <w:link w:val="697"/>
    <w:uiPriority w:val="30"/>
    <w:rPr>
      <w:i/>
    </w:rPr>
  </w:style>
  <w:style w:type="character" w:styleId="666">
    <w:name w:val="Footnote Text Char"/>
    <w:link w:val="830"/>
    <w:uiPriority w:val="99"/>
    <w:rPr>
      <w:sz w:val="18"/>
    </w:rPr>
  </w:style>
  <w:style w:type="character" w:styleId="667">
    <w:name w:val="Endnote Text Char"/>
    <w:link w:val="833"/>
    <w:uiPriority w:val="99"/>
    <w:rPr>
      <w:sz w:val="20"/>
    </w:rPr>
  </w:style>
  <w:style w:type="paragraph" w:styleId="668" w:default="1">
    <w:name w:val="Normal"/>
    <w:qFormat/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paragraph" w:styleId="672" w:customStyle="1">
    <w:name w:val="Heading 1"/>
    <w:basedOn w:val="668"/>
    <w:next w:val="668"/>
    <w:link w:val="67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3" w:customStyle="1">
    <w:name w:val="Heading 1 Char"/>
    <w:basedOn w:val="669"/>
    <w:link w:val="672"/>
    <w:uiPriority w:val="9"/>
    <w:rPr>
      <w:rFonts w:ascii="Arial" w:hAnsi="Arial" w:eastAsia="Arial" w:cs="Arial"/>
      <w:sz w:val="40"/>
      <w:szCs w:val="40"/>
    </w:rPr>
  </w:style>
  <w:style w:type="paragraph" w:styleId="674" w:customStyle="1">
    <w:name w:val="Heading 2"/>
    <w:basedOn w:val="668"/>
    <w:next w:val="668"/>
    <w:link w:val="67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5" w:customStyle="1">
    <w:name w:val="Heading 2 Char"/>
    <w:basedOn w:val="669"/>
    <w:link w:val="674"/>
    <w:uiPriority w:val="9"/>
    <w:rPr>
      <w:rFonts w:ascii="Arial" w:hAnsi="Arial" w:eastAsia="Arial" w:cs="Arial"/>
      <w:sz w:val="34"/>
    </w:rPr>
  </w:style>
  <w:style w:type="paragraph" w:styleId="676" w:customStyle="1">
    <w:name w:val="Heading 3"/>
    <w:basedOn w:val="668"/>
    <w:next w:val="668"/>
    <w:link w:val="67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7" w:customStyle="1">
    <w:name w:val="Heading 3 Char"/>
    <w:basedOn w:val="669"/>
    <w:link w:val="676"/>
    <w:uiPriority w:val="9"/>
    <w:rPr>
      <w:rFonts w:ascii="Arial" w:hAnsi="Arial" w:eastAsia="Arial" w:cs="Arial"/>
      <w:sz w:val="30"/>
      <w:szCs w:val="30"/>
    </w:rPr>
  </w:style>
  <w:style w:type="paragraph" w:styleId="678" w:customStyle="1">
    <w:name w:val="Heading 4"/>
    <w:basedOn w:val="668"/>
    <w:next w:val="668"/>
    <w:link w:val="67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9" w:customStyle="1">
    <w:name w:val="Heading 4 Char"/>
    <w:basedOn w:val="669"/>
    <w:link w:val="678"/>
    <w:uiPriority w:val="9"/>
    <w:rPr>
      <w:rFonts w:ascii="Arial" w:hAnsi="Arial" w:eastAsia="Arial" w:cs="Arial"/>
      <w:b/>
      <w:bCs/>
      <w:sz w:val="26"/>
      <w:szCs w:val="26"/>
    </w:rPr>
  </w:style>
  <w:style w:type="paragraph" w:styleId="680" w:customStyle="1">
    <w:name w:val="Heading 5"/>
    <w:basedOn w:val="668"/>
    <w:next w:val="668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 w:customStyle="1">
    <w:name w:val="Heading 5 Char"/>
    <w:basedOn w:val="669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 w:customStyle="1">
    <w:name w:val="Heading 6"/>
    <w:basedOn w:val="668"/>
    <w:next w:val="668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character" w:styleId="683" w:customStyle="1">
    <w:name w:val="Heading 6 Char"/>
    <w:basedOn w:val="669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 w:customStyle="1">
    <w:name w:val="Heading 7"/>
    <w:basedOn w:val="668"/>
    <w:next w:val="668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character" w:styleId="685" w:customStyle="1">
    <w:name w:val="Heading 7 Char"/>
    <w:basedOn w:val="669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 w:customStyle="1">
    <w:name w:val="Heading 8"/>
    <w:basedOn w:val="668"/>
    <w:next w:val="668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character" w:styleId="687" w:customStyle="1">
    <w:name w:val="Heading 8 Char"/>
    <w:basedOn w:val="669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 w:customStyle="1">
    <w:name w:val="Heading 9"/>
    <w:basedOn w:val="668"/>
    <w:next w:val="668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 w:customStyle="1">
    <w:name w:val="Heading 9 Char"/>
    <w:basedOn w:val="669"/>
    <w:link w:val="688"/>
    <w:uiPriority w:val="9"/>
    <w:rPr>
      <w:rFonts w:ascii="Arial" w:hAnsi="Arial" w:eastAsia="Arial" w:cs="Arial"/>
      <w:i/>
      <w:iCs/>
      <w:sz w:val="21"/>
      <w:szCs w:val="21"/>
    </w:rPr>
  </w:style>
  <w:style w:type="paragraph" w:styleId="690">
    <w:name w:val="No Spacing"/>
    <w:uiPriority w:val="1"/>
    <w:qFormat/>
    <w:pPr>
      <w:spacing w:after="0" w:line="240" w:lineRule="auto"/>
    </w:pPr>
  </w:style>
  <w:style w:type="paragraph" w:styleId="691">
    <w:name w:val="Title"/>
    <w:basedOn w:val="668"/>
    <w:next w:val="668"/>
    <w:link w:val="69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2" w:customStyle="1">
    <w:name w:val="Название Знак"/>
    <w:basedOn w:val="669"/>
    <w:link w:val="691"/>
    <w:uiPriority w:val="10"/>
    <w:rPr>
      <w:sz w:val="48"/>
      <w:szCs w:val="48"/>
    </w:rPr>
  </w:style>
  <w:style w:type="paragraph" w:styleId="693">
    <w:name w:val="Subtitle"/>
    <w:basedOn w:val="668"/>
    <w:next w:val="668"/>
    <w:link w:val="694"/>
    <w:uiPriority w:val="11"/>
    <w:qFormat/>
    <w:pPr>
      <w:spacing w:before="200" w:after="200"/>
    </w:pPr>
    <w:rPr>
      <w:sz w:val="24"/>
      <w:szCs w:val="24"/>
    </w:rPr>
  </w:style>
  <w:style w:type="character" w:styleId="694" w:customStyle="1">
    <w:name w:val="Подзаголовок Знак"/>
    <w:basedOn w:val="669"/>
    <w:link w:val="693"/>
    <w:uiPriority w:val="11"/>
    <w:rPr>
      <w:sz w:val="24"/>
      <w:szCs w:val="24"/>
    </w:rPr>
  </w:style>
  <w:style w:type="paragraph" w:styleId="695">
    <w:name w:val="Quote"/>
    <w:basedOn w:val="668"/>
    <w:next w:val="668"/>
    <w:link w:val="696"/>
    <w:uiPriority w:val="29"/>
    <w:qFormat/>
    <w:pPr>
      <w:ind w:left="720" w:right="720"/>
    </w:pPr>
    <w:rPr>
      <w:i/>
    </w:rPr>
  </w:style>
  <w:style w:type="character" w:styleId="696" w:customStyle="1">
    <w:name w:val="Цитата 2 Знак"/>
    <w:link w:val="695"/>
    <w:uiPriority w:val="29"/>
    <w:rPr>
      <w:i/>
    </w:rPr>
  </w:style>
  <w:style w:type="paragraph" w:styleId="697">
    <w:name w:val="Intense Quote"/>
    <w:basedOn w:val="668"/>
    <w:next w:val="668"/>
    <w:link w:val="69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8" w:customStyle="1">
    <w:name w:val="Выделенная цитата Знак"/>
    <w:link w:val="697"/>
    <w:uiPriority w:val="30"/>
    <w:rPr>
      <w:i/>
    </w:rPr>
  </w:style>
  <w:style w:type="paragraph" w:styleId="699" w:customStyle="1">
    <w:name w:val="Header"/>
    <w:basedOn w:val="668"/>
    <w:link w:val="70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0" w:customStyle="1">
    <w:name w:val="Header Char"/>
    <w:basedOn w:val="669"/>
    <w:link w:val="699"/>
    <w:uiPriority w:val="99"/>
  </w:style>
  <w:style w:type="paragraph" w:styleId="701" w:customStyle="1">
    <w:name w:val="Footer"/>
    <w:basedOn w:val="668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2" w:customStyle="1">
    <w:name w:val="Footer Char"/>
    <w:basedOn w:val="669"/>
    <w:link w:val="701"/>
    <w:uiPriority w:val="99"/>
  </w:style>
  <w:style w:type="paragraph" w:styleId="703" w:customStyle="1">
    <w:name w:val="Caption"/>
    <w:basedOn w:val="668"/>
    <w:next w:val="668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04" w:customStyle="1">
    <w:name w:val="Caption Char"/>
    <w:link w:val="701"/>
    <w:uiPriority w:val="99"/>
  </w:style>
  <w:style w:type="table" w:styleId="705" w:customStyle="1">
    <w:name w:val="Table Grid Light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6" w:customStyle="1">
    <w:name w:val="Plain Table 1"/>
    <w:basedOn w:val="670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7" w:customStyle="1">
    <w:name w:val="Plain Table 2"/>
    <w:basedOn w:val="6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8" w:customStyle="1">
    <w:name w:val="Plain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9" w:customStyle="1">
    <w:name w:val="Plain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 w:customStyle="1">
    <w:name w:val="Plain Table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1" w:customStyle="1">
    <w:name w:val="Grid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 w:customStyle="1">
    <w:name w:val="Grid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 w:customStyle="1">
    <w:name w:val="Grid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 w:customStyle="1">
    <w:name w:val="Grid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 w:customStyle="1">
    <w:name w:val="Grid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 w:customStyle="1">
    <w:name w:val="Grid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 w:customStyle="1">
    <w:name w:val="Grid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 w:customStyle="1">
    <w:name w:val="Grid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 w:customStyle="1">
    <w:name w:val="Grid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 w:customStyle="1">
    <w:name w:val="Grid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3" w:customStyle="1">
    <w:name w:val="Grid Table 4 - Accent 1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34" w:customStyle="1">
    <w:name w:val="Grid Table 4 - Accent 2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5" w:customStyle="1">
    <w:name w:val="Grid Table 4 - Accent 3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36" w:customStyle="1">
    <w:name w:val="Grid Table 4 - Accent 4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37" w:customStyle="1">
    <w:name w:val="Grid Table 4 - Accent 5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38" w:customStyle="1">
    <w:name w:val="Grid Table 4 - Accent 6"/>
    <w:basedOn w:val="6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39" w:customStyle="1">
    <w:name w:val="Grid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0" w:customStyle="1">
    <w:name w:val="Grid Table 5 Dark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41" w:customStyle="1">
    <w:name w:val="Grid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2" w:customStyle="1">
    <w:name w:val="Grid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3" w:customStyle="1">
    <w:name w:val="Grid Table 5 Dark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47" w:customStyle="1">
    <w:name w:val="Grid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48" w:customStyle="1">
    <w:name w:val="Grid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49" w:customStyle="1">
    <w:name w:val="Grid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0" w:customStyle="1">
    <w:name w:val="Grid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1" w:customStyle="1">
    <w:name w:val="Grid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2" w:customStyle="1">
    <w:name w:val="Grid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53" w:customStyle="1">
    <w:name w:val="Grid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0" w:fill="f2f2f2" w:themeFill="text1" w:themeFillTint="00"/>
      </w:tcPr>
    </w:tblStylePr>
    <w:tblStylePr w:type="band1Vert">
      <w:tcPr>
        <w:shd w:val="clear" w:color="f2f2f2" w:themeColor="text1" w:themeTint="00" w:fill="f2f2f2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4" w:customStyle="1">
    <w:name w:val="Grid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0B7E1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0B7E1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5" w:customStyle="1">
    <w:name w:val="Grid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6" w:customStyle="1">
    <w:name w:val="Grid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7" w:customStyle="1">
    <w:name w:val="Grid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2C6E7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A2C6E7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List Table 1 Light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List Table 1 Light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List Table 1 Light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List Table 1 Light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List Table 1 Light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68" w:customStyle="1">
    <w:name w:val="List Table 2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69" w:customStyle="1">
    <w:name w:val="List Table 2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0" w:customStyle="1">
    <w:name w:val="List Table 2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1" w:customStyle="1">
    <w:name w:val="List Table 2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4" w:customStyle="1">
    <w:name w:val="List Table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List Table 3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List Table 3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3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3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4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4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4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List Table 4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5 Dark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89" w:customStyle="1">
    <w:name w:val="List Table 5 Dark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0" w:customStyle="1">
    <w:name w:val="List Table 5 Dark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1" w:customStyle="1">
    <w:name w:val="List Table 5 Dark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2" w:customStyle="1">
    <w:name w:val="List Table 5 Dark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6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96" w:customStyle="1">
    <w:name w:val="List Table 6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472C4" w:themeColor="accent1" w:sz="4" w:space="0"/>
        <w:bottom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797" w:customStyle="1">
    <w:name w:val="List Table 6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4B184" w:themeColor="accent2" w:themeTint="97" w:sz="4" w:space="0"/>
        <w:bottom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798" w:customStyle="1">
    <w:name w:val="List Table 6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9C9C9" w:themeColor="accent3" w:themeTint="98" w:sz="4" w:space="0"/>
        <w:bottom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799" w:customStyle="1">
    <w:name w:val="List Table 6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D865" w:themeColor="accent4" w:themeTint="9A" w:sz="4" w:space="0"/>
        <w:bottom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0" w:customStyle="1">
    <w:name w:val="List Table 6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C2E5" w:themeColor="accent5" w:themeTint="9A" w:sz="4" w:space="0"/>
        <w:bottom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01" w:customStyle="1">
    <w:name w:val="List Table 6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9D08E" w:themeColor="accent6" w:themeTint="98" w:sz="4" w:space="0"/>
        <w:bottom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2" w:customStyle="1">
    <w:name w:val="List Table 7 Colorful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3" w:customStyle="1">
    <w:name w:val="List Table 7 Colorful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472C4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472C4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472C4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4" w:customStyle="1">
    <w:name w:val="List Table 7 Colorful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4B184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5" w:customStyle="1">
    <w:name w:val="List Table 7 Colorful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9C9C9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6" w:customStyle="1">
    <w:name w:val="List Table 7 Colorful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FD865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BC2E5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BC2E5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BC2E5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A9D08E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ned - Accent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0" w:customStyle="1">
    <w:name w:val="Lined - Accent 1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1" w:customStyle="1">
    <w:name w:val="Lined - Accent 2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2" w:customStyle="1">
    <w:name w:val="Lined - Accent 3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3" w:customStyle="1">
    <w:name w:val="Lined - Accent 4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4" w:customStyle="1">
    <w:name w:val="Lined - Accent 5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15" w:customStyle="1">
    <w:name w:val="Lined - Accent 6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16" w:customStyle="1">
    <w:name w:val="Bordered &amp; Lined - Accent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0" w:fill="f2f2f2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7" w:customStyle="1">
    <w:name w:val="Bordered &amp; Lined - Accent 1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18" w:customStyle="1">
    <w:name w:val="Bordered &amp; Lined - Accent 2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9" w:customStyle="1">
    <w:name w:val="Bordered &amp; Lined - Accent 3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0" w:customStyle="1">
    <w:name w:val="Bordered &amp; Lined - Accent 4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1" w:customStyle="1">
    <w:name w:val="Bordered &amp; Lined - Accent 5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22" w:customStyle="1">
    <w:name w:val="Bordered &amp; Lined - Accent 6"/>
    <w:basedOn w:val="67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3" w:customStyle="1">
    <w:name w:val="Bordered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4" w:customStyle="1">
    <w:name w:val="Bordered - Accent 1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25" w:customStyle="1">
    <w:name w:val="Bordered - Accent 2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26" w:customStyle="1">
    <w:name w:val="Bordered - Accent 3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27" w:customStyle="1">
    <w:name w:val="Bordered - Accent 4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28" w:customStyle="1">
    <w:name w:val="Bordered - Accent 5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29" w:customStyle="1">
    <w:name w:val="Bordered - Accent 6"/>
    <w:basedOn w:val="6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30">
    <w:name w:val="footnote text"/>
    <w:basedOn w:val="668"/>
    <w:link w:val="831"/>
    <w:uiPriority w:val="99"/>
    <w:semiHidden/>
    <w:unhideWhenUsed/>
    <w:pPr>
      <w:spacing w:after="40" w:line="240" w:lineRule="auto"/>
    </w:pPr>
    <w:rPr>
      <w:sz w:val="18"/>
    </w:rPr>
  </w:style>
  <w:style w:type="character" w:styleId="831" w:customStyle="1">
    <w:name w:val="Текст сноски Знак"/>
    <w:link w:val="830"/>
    <w:uiPriority w:val="99"/>
    <w:rPr>
      <w:sz w:val="18"/>
    </w:rPr>
  </w:style>
  <w:style w:type="character" w:styleId="832">
    <w:name w:val="footnote reference"/>
    <w:basedOn w:val="669"/>
    <w:uiPriority w:val="99"/>
    <w:unhideWhenUsed/>
    <w:rPr>
      <w:vertAlign w:val="superscript"/>
    </w:rPr>
  </w:style>
  <w:style w:type="paragraph" w:styleId="833">
    <w:name w:val="endnote text"/>
    <w:basedOn w:val="668"/>
    <w:link w:val="834"/>
    <w:uiPriority w:val="99"/>
    <w:semiHidden/>
    <w:unhideWhenUsed/>
    <w:pPr>
      <w:spacing w:after="0" w:line="240" w:lineRule="auto"/>
    </w:pPr>
    <w:rPr>
      <w:sz w:val="20"/>
    </w:rPr>
  </w:style>
  <w:style w:type="character" w:styleId="834" w:customStyle="1">
    <w:name w:val="Текст концевой сноски Знак"/>
    <w:link w:val="833"/>
    <w:uiPriority w:val="99"/>
    <w:rPr>
      <w:sz w:val="20"/>
    </w:rPr>
  </w:style>
  <w:style w:type="character" w:styleId="835">
    <w:name w:val="endnote reference"/>
    <w:basedOn w:val="669"/>
    <w:uiPriority w:val="99"/>
    <w:semiHidden/>
    <w:unhideWhenUsed/>
    <w:rPr>
      <w:vertAlign w:val="superscript"/>
    </w:rPr>
  </w:style>
  <w:style w:type="paragraph" w:styleId="836">
    <w:name w:val="toc 1"/>
    <w:basedOn w:val="668"/>
    <w:next w:val="668"/>
    <w:uiPriority w:val="39"/>
    <w:unhideWhenUsed/>
    <w:pPr>
      <w:spacing w:after="57"/>
    </w:pPr>
  </w:style>
  <w:style w:type="paragraph" w:styleId="837">
    <w:name w:val="toc 2"/>
    <w:basedOn w:val="668"/>
    <w:next w:val="668"/>
    <w:uiPriority w:val="39"/>
    <w:unhideWhenUsed/>
    <w:pPr>
      <w:ind w:left="283"/>
      <w:spacing w:after="57"/>
    </w:pPr>
  </w:style>
  <w:style w:type="paragraph" w:styleId="838">
    <w:name w:val="toc 3"/>
    <w:basedOn w:val="668"/>
    <w:next w:val="668"/>
    <w:uiPriority w:val="39"/>
    <w:unhideWhenUsed/>
    <w:pPr>
      <w:ind w:left="567"/>
      <w:spacing w:after="57"/>
    </w:pPr>
  </w:style>
  <w:style w:type="paragraph" w:styleId="839">
    <w:name w:val="toc 4"/>
    <w:basedOn w:val="668"/>
    <w:next w:val="668"/>
    <w:uiPriority w:val="39"/>
    <w:unhideWhenUsed/>
    <w:pPr>
      <w:ind w:left="850"/>
      <w:spacing w:after="57"/>
    </w:pPr>
  </w:style>
  <w:style w:type="paragraph" w:styleId="840">
    <w:name w:val="toc 5"/>
    <w:basedOn w:val="668"/>
    <w:next w:val="668"/>
    <w:uiPriority w:val="39"/>
    <w:unhideWhenUsed/>
    <w:pPr>
      <w:ind w:left="1134"/>
      <w:spacing w:after="57"/>
    </w:pPr>
  </w:style>
  <w:style w:type="paragraph" w:styleId="841">
    <w:name w:val="toc 6"/>
    <w:basedOn w:val="668"/>
    <w:next w:val="668"/>
    <w:uiPriority w:val="39"/>
    <w:unhideWhenUsed/>
    <w:pPr>
      <w:ind w:left="1417"/>
      <w:spacing w:after="57"/>
    </w:pPr>
  </w:style>
  <w:style w:type="paragraph" w:styleId="842">
    <w:name w:val="toc 7"/>
    <w:basedOn w:val="668"/>
    <w:next w:val="668"/>
    <w:uiPriority w:val="39"/>
    <w:unhideWhenUsed/>
    <w:pPr>
      <w:ind w:left="1701"/>
      <w:spacing w:after="57"/>
    </w:pPr>
  </w:style>
  <w:style w:type="paragraph" w:styleId="843">
    <w:name w:val="toc 8"/>
    <w:basedOn w:val="668"/>
    <w:next w:val="668"/>
    <w:uiPriority w:val="39"/>
    <w:unhideWhenUsed/>
    <w:pPr>
      <w:ind w:left="1984"/>
      <w:spacing w:after="57"/>
    </w:pPr>
  </w:style>
  <w:style w:type="paragraph" w:styleId="844">
    <w:name w:val="toc 9"/>
    <w:basedOn w:val="668"/>
    <w:next w:val="668"/>
    <w:uiPriority w:val="39"/>
    <w:unhideWhenUsed/>
    <w:pPr>
      <w:ind w:left="2268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668"/>
    <w:next w:val="668"/>
    <w:uiPriority w:val="99"/>
    <w:unhideWhenUsed/>
    <w:pPr>
      <w:spacing w:after="0"/>
    </w:pPr>
  </w:style>
  <w:style w:type="table" w:styleId="847">
    <w:name w:val="Table Grid"/>
    <w:basedOn w:val="670"/>
    <w:uiPriority w:val="3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48">
    <w:name w:val="List Paragraph"/>
    <w:basedOn w:val="668"/>
    <w:uiPriority w:val="34"/>
    <w:qFormat/>
    <w:pPr>
      <w:contextualSpacing/>
      <w:ind w:left="720"/>
    </w:pPr>
  </w:style>
  <w:style w:type="character" w:styleId="849">
    <w:name w:val="Hyperlink"/>
    <w:basedOn w:val="669"/>
    <w:uiPriority w:val="99"/>
    <w:unhideWhenUsed/>
    <w:rPr>
      <w:color w:val="0563c1" w:themeColor="hyperlink"/>
      <w:u w:val="single"/>
    </w:rPr>
  </w:style>
  <w:style w:type="character" w:styleId="850" w:customStyle="1">
    <w:name w:val="Неразрешенное упоминание1"/>
    <w:basedOn w:val="669"/>
    <w:uiPriority w:val="99"/>
    <w:semiHidden/>
    <w:unhideWhenUsed/>
    <w:rPr>
      <w:color w:val="605e5c"/>
      <w:shd w:val="clear" w:color="auto" w:fill="e1dfdd"/>
    </w:rPr>
  </w:style>
  <w:style w:type="character" w:styleId="851" w:customStyle="1">
    <w:name w:val="Unresolved Mention"/>
    <w:basedOn w:val="669"/>
    <w:uiPriority w:val="99"/>
    <w:semiHidden/>
    <w:unhideWhenUsed/>
    <w:rPr>
      <w:color w:val="605e5c"/>
      <w:shd w:val="clear" w:color="auto" w:fill="e1dfdd"/>
    </w:rPr>
  </w:style>
  <w:style w:type="table" w:styleId="852" w:customStyle="1">
    <w:name w:val="Сетка таблицы1"/>
    <w:basedOn w:val="670"/>
    <w:next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drive.google.com/open?id=1F8Oi3l27CYY5L1gF2suIk8uhQRGtkreD" TargetMode="External"/><Relationship Id="rId10" Type="http://schemas.openxmlformats.org/officeDocument/2006/relationships/hyperlink" Target="https://aroken.ru/" TargetMode="External"/><Relationship Id="rId11" Type="http://schemas.openxmlformats.org/officeDocument/2006/relationships/hyperlink" Target="https://aroken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R7-Office/7.4.0.112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dcterms:created xsi:type="dcterms:W3CDTF">2023-12-06T13:18:00Z</dcterms:created>
  <dcterms:modified xsi:type="dcterms:W3CDTF">2023-12-22T14:47:58Z</dcterms:modified>
</cp:coreProperties>
</file>