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7"/>
        <w:contextualSpacing/>
        <w:ind w:left="0" w:right="0" w:firstLine="709"/>
        <w:jc w:val="right"/>
        <w:spacing w:before="0" w:after="0"/>
      </w:pPr>
      <w:r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 xml:space="preserve">Приложение 2 </w:t>
      </w:r>
      <w:r/>
    </w:p>
    <w:p>
      <w:pPr>
        <w:pStyle w:val="647"/>
        <w:contextualSpacing/>
        <w:ind w:left="0" w:right="0" w:firstLine="709"/>
        <w:jc w:val="right"/>
        <w:spacing w:before="0" w:after="0"/>
      </w:pPr>
      <w:r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 xml:space="preserve">к приказу от 29.11.2023 №3Л</w:t>
      </w:r>
      <w:r/>
    </w:p>
    <w:p>
      <w:pPr>
        <w:pStyle w:val="634"/>
        <w:contextualSpacing/>
        <w:ind w:left="0" w:right="0" w:firstLine="709"/>
        <w:jc w:val="center"/>
        <w:spacing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34"/>
        <w:contextualSpacing/>
        <w:ind w:left="0" w:right="0" w:firstLine="709"/>
        <w:jc w:val="center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34"/>
        <w:contextualSpacing/>
        <w:ind w:left="0" w:right="0" w:firstLine="709"/>
        <w:jc w:val="center"/>
        <w:spacing w:before="0"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Порядок      </w:t>
      </w:r>
      <w:r/>
    </w:p>
    <w:p>
      <w:pPr>
        <w:pStyle w:val="634"/>
        <w:contextualSpacing/>
        <w:ind w:left="0" w:right="0" w:firstLine="709"/>
        <w:jc w:val="center"/>
        <w:spacing w:before="0"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 основания перевода, отчисления и восстановления обучающихся  </w:t>
      </w:r>
      <w:r/>
    </w:p>
    <w:p>
      <w:pPr>
        <w:pStyle w:val="634"/>
        <w:contextualSpacing/>
        <w:ind w:left="0" w:right="0" w:firstLine="709"/>
        <w:jc w:val="center"/>
        <w:spacing w:before="0"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предприниматель Мамонтов-Катаев Максим Русланович</w:t>
      </w:r>
      <w:r/>
    </w:p>
    <w:p>
      <w:pPr>
        <w:pStyle w:val="634"/>
        <w:contextualSpacing/>
        <w:ind w:left="0" w:right="0" w:firstLine="709"/>
        <w:jc w:val="center"/>
        <w:spacing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34"/>
        <w:contextualSpacing/>
        <w:ind w:left="0" w:right="0" w:firstLine="709"/>
        <w:jc w:val="center"/>
        <w:spacing w:before="0"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1.Общие положения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Настоящий Порядок (далее Прядок) регламентирует порядок и основания перевода, отчисления и восстановления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1.2. Настоящий Порядок разработано в целях обеспечения прав обучающихся и других участников образовательных отношений.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1.3. Настоящее Положение разработано в соответствии с требованиями: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- Федерального закона от 29 декабря 2012 г. № 273-ФЗ «Об образовании в Российской Федерации»;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- Закона Российской Федерации от 7 февраля 1992г. №2300-1 «О защите прав потребителей»;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РФ от 15 сентября 2020 г. N 1441 "Об утверждении Правил оказания платных образовательных услуг";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Приказ Минпросвещения России от 27.07.2022 N 629 "Об утверждении Порядка организации и осуществления образовательной деятельности по дополнительным общеобразовательным программам" (Зарегистрировано в Минюсте России 26.09.2022 N 70226). </w:t>
      </w:r>
      <w:r/>
    </w:p>
    <w:p>
      <w:pPr>
        <w:pStyle w:val="634"/>
        <w:contextualSpacing/>
        <w:ind w:left="0" w:right="0" w:firstLine="709"/>
        <w:jc w:val="both"/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634"/>
        <w:contextualSpacing/>
        <w:ind w:left="0" w:right="0" w:firstLine="709"/>
        <w:jc w:val="center"/>
        <w:spacing w:before="0" w:after="0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Порядок и основания перевода обучающихся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2.1. Обучающиеся имеют право на перевод.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2.2. В образовательной организации выделяют следующие виды переводов обучающихся: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2.2.1. Внешний перевод обучающихся, к которому относятся: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перевод в другую образовательную организацию для продолжения освоения образовательной программы;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перевод из другой образовательной организации для продолжения освоения образовательной программы;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2.2.2. Внутренний перевод обучающихся - перевод в пределах настоящей образовательной организации. Внутренний перевод может быть осуществлён с целью предоставления обучающемуся возможности: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перевода из учебной группы, в которой он осуществляет обучение, в другую учебную группу;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замены одной осваиваемой дополнительной общеобразовательной общеразвивающей программы  на другую;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2.3. Решение о возможности внешнего перевода и внутреннего перевода обучающегося принимаются руководителем образовательной организации при наличии соответствующих условий: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2.3.1. Условия для внешнего перевода обучающегося из другой образовательной организации: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наличие свободных мест для обучения по выбранной дополнительной общеобразовательной </w:t>
      </w:r>
      <w:r>
        <w:rPr>
          <w:rFonts w:ascii="Times New Roman" w:hAnsi="Times New Roman" w:cs="Times New Roman"/>
          <w:sz w:val="24"/>
          <w:szCs w:val="24"/>
        </w:rPr>
        <w:t xml:space="preserve">общеразвивающей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программе;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полное или частичное соответствие программ дополнительного образования в их содержании и объеме учебных часов для продолжения обучения;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полное или частичное соответствие учебного и тематического планов программ дополнительного общеобразовательного образования для продолжения обучения;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полное или частичное соответствие требований к результатам освоения дополнительных общеобразовательных </w:t>
      </w:r>
      <w:r>
        <w:rPr>
          <w:rFonts w:ascii="Times New Roman" w:hAnsi="Times New Roman" w:cs="Times New Roman"/>
          <w:sz w:val="24"/>
          <w:szCs w:val="24"/>
        </w:rPr>
        <w:t xml:space="preserve">общеразвивающих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Кроме того, обязательными условиями для внешнего перевода обучающегося из другой образовательной организации являются: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заключение (решение) уполномоченного педагогического работника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комиссии педаго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гических работников настоящей образовательной организации, оформленного по итогам испытания обучающегося на предмет соответствия знаний, умений и навыков обучающегося требованиям, предъявляемым к обучению по выбранной обучающимся образовательной программе;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предоставление обучающимся следующ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их необходимых документов: справка об обучении в иной образовательной организации с указанием наименования осваиваемой образовательной программы, специальности обучения, количества учебных часов и срока освоения образовательной программы в полном объеме, 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езультатов промежуточной аттестации по учебным предметам (дисциплинам) образовательной программы;  паспорт обучающегося; заверенная копия лицензии на осуществление образовательной деятельности образовательной организации, из которой осуществляется перевод.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2.3.2. Условием для внешнего перевода обучающегося в другую образовательную организацию является оплата фактического освоения образовательной программы в соответствии с условиями договора об образовании.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2.3.3. Условия для внутреннего перевода обучающегося: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наличие свободных мест в группе для обучения по выбранной дополнительной общеобразовательной </w:t>
      </w:r>
      <w:r>
        <w:rPr>
          <w:rFonts w:ascii="Times New Roman" w:hAnsi="Times New Roman" w:cs="Times New Roman"/>
          <w:sz w:val="24"/>
          <w:szCs w:val="24"/>
        </w:rPr>
        <w:t xml:space="preserve">общеразвивающей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программе;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полное или частичное соответствие программ дополнительного образования в их содержании и объеме учебных часов для продолжения обучения;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полное или частичное соответствие учебного и тематического планов программ дополнительного образования для продолжения обучения;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полное или частичное соответствие в требованиях к результатам освоения дополнительных общеобразовательных </w:t>
      </w:r>
      <w:r>
        <w:rPr>
          <w:rFonts w:ascii="Times New Roman" w:hAnsi="Times New Roman" w:cs="Times New Roman"/>
          <w:sz w:val="24"/>
          <w:szCs w:val="24"/>
        </w:rPr>
        <w:t xml:space="preserve">общеразвивающих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2.4. Основанием для перевода обучающегося является наличие личного заявления обучающегося с указанием причин перевода.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2.5. Руководителем образовательной организации решение о переводе обучающегося принимаются на основании личного заявления обучающегося, а также при наличии необходимых условий перевода в соответствии с настоящим Порядком.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2.6. Решение о переводе обучающегося оформляется распорядительным актом руководителя образовательной организации.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2.6.1. При внутреннем переводе обучающегося при необходимости вносятся соответствующие изменения в договор об образовании.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2.6.2. При внешнем переводе обучающегося: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из другой 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изданию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распорядительного акта руководителя образовательной организации предшествует заключение договора об образовании;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другую образовательную организацию договор об образовании расторгается в установленном договором порядке.</w:t>
      </w:r>
      <w:r/>
    </w:p>
    <w:p>
      <w:pPr>
        <w:pStyle w:val="634"/>
        <w:contextualSpacing/>
        <w:ind w:left="0" w:right="0" w:firstLine="709"/>
        <w:jc w:val="both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Style w:val="634"/>
        <w:contextualSpacing/>
        <w:ind w:left="0" w:right="0" w:firstLine="709"/>
        <w:jc w:val="center"/>
        <w:spacing w:before="0" w:after="0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Порядок и основания отчисления  обучающихся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3.1. При освоении дополнительной общеобразовательной </w:t>
      </w:r>
      <w:r>
        <w:rPr>
          <w:rFonts w:ascii="Times New Roman" w:hAnsi="Times New Roman" w:cs="Times New Roman"/>
          <w:sz w:val="24"/>
          <w:szCs w:val="24"/>
        </w:rPr>
        <w:t xml:space="preserve">общеразвивающей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программы обучающийся может быть отчислен из образовательной организации по</w:t>
      </w:r>
      <w:r>
        <w:rPr>
          <w:rFonts w:ascii="Times New Roman" w:hAnsi="Times New Roman" w:cs="Times New Roman"/>
          <w:sz w:val="24"/>
          <w:szCs w:val="24"/>
        </w:rPr>
        <w:t xml:space="preserve"> следующим основаниям: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связи с освоением в полном объеме дополнительной общеобразовательной </w:t>
      </w:r>
      <w:r>
        <w:rPr>
          <w:rFonts w:ascii="Times New Roman" w:hAnsi="Times New Roman" w:cs="Times New Roman"/>
          <w:sz w:val="24"/>
          <w:szCs w:val="24"/>
        </w:rPr>
        <w:t xml:space="preserve">общеразвивающей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программы и успешным прохождением итоговой аттестации;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по личной инициативе обучающегося;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связи с систематическим нарушением правил внутреннего распорядка обучающихся и иных локальных нормативных актов 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образовательной организации;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при несоблюдении обучающимся обязанностей по добросовестному освоению образовательной программы, невыполнении учебного плана и учебной программы;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при непрохождении итоговой аттестации в установленной форме и получении на итоговой аттестации неудовлетворительных результатов, а также при освоении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лишь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части образовательной программы;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случае выявления  несоответствий в представленных документах, необходимых для зачисления в образовательную организацию, и невозможности их устранения;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при наличии медицинских противопоказаний к обучению;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при совершении противоправных действий;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по решению судебных органов;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случае смерти обучающегося;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случае прекращения деятельности (ликвидации)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образовательной организации;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случае приостановления действия или аннулирование лицензии на образовательную деятельность, выданной образовательной организации;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иных случаях, предусмотренных действующим законодательством.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3.2.  В день возникновения основания для отчисления руководитель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образовательной организации издает 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риказ об отчислении обучающегося.</w:t>
      </w:r>
      <w:r>
        <w:rPr>
          <w:rFonts w:ascii="Times New Roman" w:hAnsi="Times New Roman" w:cs="Times New Roman"/>
          <w:sz w:val="24"/>
          <w:szCs w:val="24"/>
        </w:rPr>
        <w:t xml:space="preserve"> Приказ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доводится до сведения обучающегося, а в случае необходимости и до заказчика обучения. 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3.3. Обучающийся или заказчик обучения имеют право получить копию приказа или выписку из него.</w:t>
      </w:r>
      <w:r/>
    </w:p>
    <w:p>
      <w:pPr>
        <w:pStyle w:val="634"/>
        <w:contextualSpacing/>
        <w:ind w:left="0" w:right="0" w:firstLine="709"/>
        <w:jc w:val="both"/>
        <w:spacing w:before="0" w:after="0"/>
        <w:rPr>
          <w:highlight w:val="non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3.4. </w:t>
      </w:r>
      <w:bookmarkStart w:id="0" w:name="_Hlk39519254"/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При отчислении  по основаниям</w:t>
      </w:r>
      <w:bookmarkEnd w:id="0"/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, связанным с освоением в полном объеме дополнительной общеобразовательной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общеразвивающей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программы, обучающемуся выдается сертификат.</w:t>
      </w:r>
      <w:r>
        <w:rPr>
          <w:highlight w:val="none"/>
        </w:rPr>
      </w:r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3.5. При отчислении  по основаниям, связанным с личной инициативой обучающегося, с системати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ческим нарушением правил внутреннего распорядка обучающихся, иных локальных нормативных актов  образовательной организации, по решению судебных органов обучающемуся выдается справка об обучении, установленной в образовательной организации формы, в течение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5 дней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после издания приказа об отчислении.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3.6. В случаев досрочного прекращения образовательных отношений по инициативе обучающегося не возникает каких-либо дополнительных, в том числе материальных, обязательств обучающегося перед образовательной организации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3.7. Отчисление обучающегося по инициативе образовательной организации во время его болезни или отсутствия по уважительной причине не допускается.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3.8. Права и обязанности обучающихся, предусмотренные действующим законодательством Российской Федерации прекращаются с даты его отчисления.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3.9. Решение об отчислении обучающегося может быть обжаловано в соответствии с действующим законодательством. </w:t>
      </w:r>
      <w:r/>
    </w:p>
    <w:p>
      <w:pPr>
        <w:pStyle w:val="634"/>
        <w:contextualSpacing/>
        <w:ind w:left="0" w:right="0" w:firstLine="709"/>
        <w:jc w:val="both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Style w:val="634"/>
        <w:contextualSpacing/>
        <w:ind w:left="0" w:right="0" w:firstLine="709"/>
        <w:jc w:val="center"/>
        <w:spacing w:before="0" w:after="0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Порядок восстановления обучающихся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4.1. Обучающийся, ранее отчисленный из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образовательной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по личной инициативе до завершения освоения дополнительной общеобразовательной общеразвивающей программы, имеет право на восстановление для дальнейшего обучения в течение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3 лет</w:t>
      </w:r>
      <w:r>
        <w:rPr>
          <w:rFonts w:ascii="Times New Roman" w:hAnsi="Times New Roman" w:cs="Times New Roman"/>
          <w:sz w:val="24"/>
          <w:szCs w:val="24"/>
        </w:rPr>
        <w:t xml:space="preserve"> после отчисления при сохранении прежних условий обучения, наличия в период восстановления группы для зачисления, осваивающей необходимую образовательную программу или условий для индивидуального обучения.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4.2. Лицо, претендующее на восстановление для обучения по дополнительной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общеобразовательной </w:t>
      </w:r>
      <w:r>
        <w:rPr>
          <w:rFonts w:ascii="Times New Roman" w:hAnsi="Times New Roman" w:cs="Times New Roman"/>
          <w:sz w:val="24"/>
          <w:szCs w:val="24"/>
        </w:rPr>
        <w:t xml:space="preserve">общеразвивающей программе, должно предоставить личное заявление на имя руководителя образовательной организации, в котором указывается причина отчисления, а также предоставить справку об обучении.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4.3. При восстановлении в образовательной организации лица, желающего продолжить обучение, заключается договор платных образовательных услуг и производится оплата обучения в соответствии с его условиями. 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4.4. В отдельных случаях, если это закреплено в соответствующем локальном акте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образовательной организации, для восстановления на обучение может предусматриваться промежуточная аттестация по дополнительной общеобразовательной </w:t>
      </w:r>
      <w:r>
        <w:rPr>
          <w:rFonts w:ascii="Times New Roman" w:hAnsi="Times New Roman" w:cs="Times New Roman"/>
          <w:sz w:val="24"/>
          <w:szCs w:val="24"/>
        </w:rPr>
        <w:t xml:space="preserve">общеразвивающей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программе, при освоении которой обучающийся ранее был отчислен.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4.5. Восстановление обучающегося оформляется приказом руководителя образовательной организации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</w:t>
      </w:r>
      <w:r/>
    </w:p>
    <w:p>
      <w:pPr>
        <w:pStyle w:val="634"/>
        <w:contextualSpacing/>
        <w:ind w:left="0" w:right="0" w:firstLine="709"/>
        <w:jc w:val="both"/>
        <w:spacing w:before="0"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</w:p>
    <w:p>
      <w:pPr>
        <w:pStyle w:val="634"/>
        <w:contextualSpacing/>
        <w:ind w:left="0" w:right="0" w:firstLine="709"/>
        <w:jc w:val="center"/>
        <w:spacing w:before="0" w:after="0"/>
      </w:pPr>
      <w:r>
        <w:rPr>
          <w:rFonts w:ascii="Times New Roman" w:hAnsi="Times New Roman"/>
          <w:b/>
          <w:sz w:val="24"/>
          <w:szCs w:val="24"/>
        </w:rPr>
        <w:t xml:space="preserve">5.Заключительные положения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/>
          <w:sz w:val="24"/>
          <w:szCs w:val="24"/>
        </w:rPr>
        <w:t xml:space="preserve">5.1. Приказом руководителя образовательной организации в образовательной организации назначается ответственное лицо за организацию работы по соблюдению настоящего Порядка.</w:t>
      </w:r>
      <w:r/>
    </w:p>
    <w:p>
      <w:pPr>
        <w:pStyle w:val="634"/>
        <w:contextualSpacing/>
        <w:ind w:left="0" w:right="0" w:firstLine="709"/>
        <w:jc w:val="both"/>
        <w:spacing w:before="0" w:after="0"/>
      </w:pPr>
      <w:r>
        <w:rPr>
          <w:rFonts w:ascii="Times New Roman" w:hAnsi="Times New Roman"/>
          <w:sz w:val="24"/>
          <w:szCs w:val="24"/>
        </w:rPr>
        <w:t xml:space="preserve">5.2. Все сотрудники и обучающиеся образовательной организации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несут ответственность за выполнение настоящего Порядка в соответствии требованиями законодательства. </w:t>
      </w:r>
      <w:r/>
    </w:p>
    <w:sectPr>
      <w:footerReference w:type="default" r:id="rId8"/>
      <w:footnotePr/>
      <w:endnotePr/>
      <w:type w:val="nextPage"/>
      <w:pgSz w:w="11906" w:h="16838" w:orient="portrait"/>
      <w:pgMar w:top="1134" w:right="850" w:bottom="1134" w:left="1701" w:header="0" w:footer="708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00603000000000000"/>
  </w:font>
  <w:font w:name="Calibri">
    <w:panose1 w:val="020F0502020204030204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1"/>
      <w:ind w:left="0" w:right="0" w:firstLine="0"/>
      <w:jc w:val="center"/>
    </w:pPr>
    <w:r>
      <w:rPr>
        <w:lang w:val="en-US" w:eastAsia="en-US"/>
      </w:rPr>
      <w:fldChar w:fldCharType="begin"/>
    </w:r>
    <w:r>
      <w:rPr>
        <w:lang w:val="en-US" w:eastAsia="en-US"/>
      </w:rPr>
      <w:instrText xml:space="preserve"> PAGE </w:instrText>
    </w:r>
    <w:r>
      <w:rPr>
        <w:lang w:val="en-US" w:eastAsia="en-US"/>
      </w:rPr>
      <w:fldChar w:fldCharType="separate"/>
    </w:r>
    <w:r>
      <w:rPr>
        <w:lang w:val="en-US" w:eastAsia="en-US"/>
      </w:rPr>
      <w:t xml:space="preserve">4</w:t>
    </w:r>
    <w:r>
      <w:rPr>
        <w:lang w:val="en-US" w:eastAsia="en-US"/>
      </w:rPr>
      <w:fldChar w:fldCharType="end"/>
    </w:r>
    <w:r/>
  </w:p>
  <w:p>
    <w:pPr>
      <w:pStyle w:val="651"/>
      <w:ind w:left="0" w:right="0" w:firstLine="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4"/>
    <w:next w:val="63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35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4"/>
    <w:next w:val="63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4"/>
    <w:next w:val="63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4"/>
    <w:next w:val="63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4"/>
    <w:next w:val="63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4"/>
    <w:next w:val="63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4"/>
    <w:next w:val="63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4"/>
    <w:next w:val="63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4"/>
    <w:next w:val="63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35"/>
    <w:link w:val="647"/>
    <w:uiPriority w:val="10"/>
    <w:rPr>
      <w:sz w:val="48"/>
      <w:szCs w:val="48"/>
    </w:rPr>
  </w:style>
  <w:style w:type="paragraph" w:styleId="36">
    <w:name w:val="Subtitle"/>
    <w:basedOn w:val="634"/>
    <w:next w:val="63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5"/>
    <w:link w:val="36"/>
    <w:uiPriority w:val="11"/>
    <w:rPr>
      <w:sz w:val="24"/>
      <w:szCs w:val="24"/>
    </w:rPr>
  </w:style>
  <w:style w:type="paragraph" w:styleId="38">
    <w:name w:val="Quote"/>
    <w:basedOn w:val="634"/>
    <w:next w:val="63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4"/>
    <w:next w:val="63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35"/>
    <w:link w:val="650"/>
    <w:uiPriority w:val="99"/>
  </w:style>
  <w:style w:type="character" w:styleId="45">
    <w:name w:val="Footer Char"/>
    <w:basedOn w:val="635"/>
    <w:link w:val="651"/>
    <w:uiPriority w:val="99"/>
  </w:style>
  <w:style w:type="character" w:styleId="47">
    <w:name w:val="Caption Char"/>
    <w:basedOn w:val="643"/>
    <w:link w:val="651"/>
    <w:uiPriority w:val="99"/>
  </w:style>
  <w:style w:type="table" w:styleId="48">
    <w:name w:val="Table Grid"/>
    <w:basedOn w:val="64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5"/>
    <w:uiPriority w:val="99"/>
    <w:unhideWhenUsed/>
    <w:rPr>
      <w:vertAlign w:val="superscript"/>
    </w:rPr>
  </w:style>
  <w:style w:type="paragraph" w:styleId="178">
    <w:name w:val="endnote text"/>
    <w:basedOn w:val="63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5"/>
    <w:uiPriority w:val="99"/>
    <w:semiHidden/>
    <w:unhideWhenUsed/>
    <w:rPr>
      <w:vertAlign w:val="superscript"/>
    </w:rPr>
  </w:style>
  <w:style w:type="paragraph" w:styleId="181">
    <w:name w:val="toc 1"/>
    <w:basedOn w:val="634"/>
    <w:next w:val="63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4"/>
    <w:next w:val="63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4"/>
    <w:next w:val="63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4"/>
    <w:next w:val="63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4"/>
    <w:next w:val="63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4"/>
    <w:next w:val="63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4"/>
    <w:next w:val="63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4"/>
    <w:next w:val="63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4"/>
    <w:next w:val="63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4"/>
    <w:next w:val="634"/>
    <w:uiPriority w:val="99"/>
    <w:unhideWhenUsed/>
    <w:pPr>
      <w:spacing w:after="0" w:afterAutospacing="0"/>
    </w:pPr>
  </w:style>
  <w:style w:type="paragraph" w:styleId="634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mbria Math" w:cs="Calibri"/>
      <w:color w:val="auto"/>
      <w:sz w:val="22"/>
      <w:szCs w:val="22"/>
      <w:lang w:val="ru-RU" w:eastAsia="ru-RU" w:bidi="ar-SA"/>
    </w:rPr>
  </w:style>
  <w:style w:type="character" w:styleId="635" w:default="1">
    <w:name w:val="Default Paragraph Font"/>
    <w:qFormat/>
  </w:style>
  <w:style w:type="character" w:styleId="636">
    <w:name w:val="Основной текст (3)"/>
    <w:basedOn w:val="635"/>
    <w:qFormat/>
    <w:rPr>
      <w:rFonts w:ascii="Times New Roman" w:hAnsi="Times New Roman" w:cs="Times New Roman"/>
      <w:spacing w:val="0"/>
      <w:sz w:val="24"/>
      <w:szCs w:val="24"/>
      <w:u w:val="none"/>
    </w:rPr>
  </w:style>
  <w:style w:type="character" w:styleId="637">
    <w:name w:val="Название Знак"/>
    <w:basedOn w:val="635"/>
    <w:qFormat/>
    <w:rPr>
      <w:rFonts w:ascii="Arial" w:hAnsi="Arial" w:cs="Arial"/>
      <w:b/>
      <w:bCs/>
      <w:color w:val="0000ff"/>
      <w:sz w:val="36"/>
      <w:szCs w:val="36"/>
      <w:lang w:val="en-US"/>
    </w:rPr>
  </w:style>
  <w:style w:type="character" w:styleId="638">
    <w:name w:val="Верхний колонтитул Знак"/>
    <w:basedOn w:val="635"/>
    <w:qFormat/>
    <w:rPr>
      <w:sz w:val="24"/>
      <w:szCs w:val="24"/>
      <w:lang w:val="en-US"/>
    </w:rPr>
  </w:style>
  <w:style w:type="character" w:styleId="639">
    <w:name w:val="Нижний колонтитул Знак"/>
    <w:basedOn w:val="635"/>
    <w:qFormat/>
    <w:rPr>
      <w:sz w:val="24"/>
      <w:szCs w:val="24"/>
      <w:lang w:val="en-US"/>
    </w:rPr>
  </w:style>
  <w:style w:type="paragraph" w:styleId="640">
    <w:name w:val="Heading"/>
    <w:basedOn w:val="634"/>
    <w:next w:val="641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641">
    <w:name w:val="Body Text"/>
    <w:basedOn w:val="634"/>
    <w:pPr>
      <w:spacing w:before="0" w:after="140" w:line="276" w:lineRule="auto"/>
    </w:pPr>
  </w:style>
  <w:style w:type="paragraph" w:styleId="642">
    <w:name w:val="List"/>
    <w:basedOn w:val="641"/>
  </w:style>
  <w:style w:type="paragraph" w:styleId="643">
    <w:name w:val="Caption"/>
    <w:basedOn w:val="634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44">
    <w:name w:val="Index"/>
    <w:basedOn w:val="634"/>
    <w:qFormat/>
    <w:pPr>
      <w:suppressLineNumbers/>
    </w:pPr>
  </w:style>
  <w:style w:type="paragraph" w:styleId="645" w:default="1">
    <w:name w:val="Normal Table"/>
    <w:qFormat/>
    <w:pPr>
      <w:jc w:val="left"/>
      <w:spacing w:before="0" w:after="160" w:line="256" w:lineRule="auto"/>
      <w:widowControl/>
    </w:pPr>
    <w:rPr>
      <w:rFonts w:ascii="Calibri" w:hAnsi="Calibri" w:eastAsia="Cambria Math" w:cs="Calibri"/>
      <w:color w:val="auto"/>
      <w:sz w:val="22"/>
      <w:szCs w:val="22"/>
      <w:lang w:val="ru-RU" w:eastAsia="en-US" w:bidi="ar-SA"/>
    </w:rPr>
  </w:style>
  <w:style w:type="paragraph" w:styleId="646">
    <w:name w:val="List Paragraph"/>
    <w:basedOn w:val="634"/>
    <w:qFormat/>
    <w:pPr>
      <w:contextualSpacing/>
      <w:ind w:left="720" w:firstLine="0"/>
      <w:spacing w:before="0" w:after="200"/>
    </w:pPr>
    <w:rPr>
      <w:rFonts w:cs="Times New Roman"/>
      <w:lang w:eastAsia="en-US"/>
    </w:rPr>
  </w:style>
  <w:style w:type="paragraph" w:styleId="647">
    <w:name w:val="Title"/>
    <w:basedOn w:val="634"/>
    <w:qFormat/>
    <w:pPr>
      <w:jc w:val="center"/>
      <w:spacing w:before="0" w:after="0" w:line="240" w:lineRule="auto"/>
    </w:pPr>
    <w:rPr>
      <w:rFonts w:ascii="Arial" w:hAnsi="Arial" w:cs="Arial"/>
      <w:b/>
      <w:bCs/>
      <w:color w:val="0000ff"/>
      <w:sz w:val="36"/>
      <w:szCs w:val="36"/>
    </w:rPr>
  </w:style>
  <w:style w:type="paragraph" w:styleId="648">
    <w:name w:val="Normal (Web)"/>
    <w:basedOn w:val="634"/>
    <w:qFormat/>
    <w:pPr>
      <w:spacing w:beforeAutospacing="1" w:afterAutospacing="1" w:line="240" w:lineRule="auto"/>
    </w:pPr>
    <w:rPr>
      <w:sz w:val="24"/>
      <w:szCs w:val="24"/>
    </w:rPr>
  </w:style>
  <w:style w:type="paragraph" w:styleId="649">
    <w:name w:val="Header and Footer"/>
    <w:basedOn w:val="634"/>
    <w:qFormat/>
  </w:style>
  <w:style w:type="paragraph" w:styleId="650">
    <w:name w:val="Header"/>
    <w:basedOn w:val="634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651">
    <w:name w:val="Footer"/>
    <w:basedOn w:val="634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numbering" w:styleId="104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Templat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en-US</dc:language>
  <cp:lastModifiedBy/>
  <cp:revision>24</cp:revision>
  <dcterms:created xsi:type="dcterms:W3CDTF">2020-05-16T10:59:00Z</dcterms:created>
  <dcterms:modified xsi:type="dcterms:W3CDTF">2023-12-22T09:44:14Z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